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3F562" w14:textId="52C42845" w:rsidR="00CB4F78" w:rsidRPr="00BD246F" w:rsidRDefault="005108A9" w:rsidP="00ED1556">
      <w:pPr>
        <w:pStyle w:val="Heading1"/>
        <w:rPr>
          <w:b/>
        </w:rPr>
      </w:pPr>
      <w:bookmarkStart w:id="0" w:name="_Toc74125045"/>
      <w:r w:rsidRPr="00BD246F">
        <w:rPr>
          <w:b/>
        </w:rPr>
        <w:t>Приложение II.</w:t>
      </w:r>
      <w:r w:rsidR="00ED227B" w:rsidRPr="00BD246F">
        <w:rPr>
          <w:b/>
        </w:rPr>
        <w:t>3</w:t>
      </w:r>
      <w:r w:rsidRPr="00BD246F">
        <w:rPr>
          <w:b/>
        </w:rPr>
        <w:t>.</w:t>
      </w:r>
      <w:r w:rsidR="00ED227B" w:rsidRPr="00BD246F">
        <w:rPr>
          <w:b/>
        </w:rPr>
        <w:t>5</w:t>
      </w:r>
      <w:r w:rsidRPr="00BD246F">
        <w:rPr>
          <w:b/>
        </w:rPr>
        <w:t xml:space="preserve">. </w:t>
      </w:r>
      <w:r w:rsidR="00ED227B" w:rsidRPr="00BD246F">
        <w:rPr>
          <w:b/>
        </w:rPr>
        <w:t>Хими</w:t>
      </w:r>
      <w:r w:rsidR="00EC58AC">
        <w:rPr>
          <w:b/>
        </w:rPr>
        <w:t>кали</w:t>
      </w:r>
      <w:bookmarkEnd w:id="0"/>
    </w:p>
    <w:p w14:paraId="61B1BCE9" w14:textId="77777777" w:rsidR="00ED1556" w:rsidRPr="00BD246F" w:rsidRDefault="00ED1556" w:rsidP="00CB4F78">
      <w:pPr>
        <w:spacing w:line="256" w:lineRule="auto"/>
        <w:ind w:left="720"/>
        <w:rPr>
          <w:rFonts w:ascii="Calibri" w:eastAsia="Times New Roman" w:hAnsi="Calibri" w:cs="Calibri"/>
          <w:lang w:val="bg-BG"/>
        </w:rPr>
      </w:pPr>
    </w:p>
    <w:sdt>
      <w:sdtPr>
        <w:rPr>
          <w:rFonts w:asciiTheme="minorHAnsi" w:eastAsiaTheme="minorHAnsi" w:hAnsiTheme="minorHAnsi" w:cstheme="minorBidi"/>
          <w:b w:val="0"/>
          <w:bCs w:val="0"/>
          <w:color w:val="auto"/>
          <w:sz w:val="22"/>
          <w:szCs w:val="22"/>
          <w:lang w:val="bg-BG" w:eastAsia="en-US"/>
        </w:rPr>
        <w:id w:val="-1821268495"/>
        <w:docPartObj>
          <w:docPartGallery w:val="Table of Contents"/>
          <w:docPartUnique/>
        </w:docPartObj>
      </w:sdtPr>
      <w:sdtEndPr>
        <w:rPr>
          <w:rFonts w:ascii="Times New Roman" w:hAnsi="Times New Roman" w:cs="Times New Roman"/>
          <w:b/>
          <w:bCs/>
          <w:noProof/>
        </w:rPr>
      </w:sdtEndPr>
      <w:sdtContent>
        <w:p w14:paraId="51829EF8" w14:textId="5E58AFAD" w:rsidR="00ED1556" w:rsidRPr="00BD246F" w:rsidRDefault="00ED1556">
          <w:pPr>
            <w:pStyle w:val="TOCHeading"/>
            <w:rPr>
              <w:rFonts w:ascii="Times New Roman" w:eastAsia="Times New Roman" w:hAnsi="Times New Roman" w:cs="Times New Roman"/>
              <w:bCs w:val="0"/>
              <w:sz w:val="24"/>
              <w:szCs w:val="24"/>
              <w:lang w:val="bg-BG" w:eastAsia="en-US"/>
            </w:rPr>
          </w:pPr>
          <w:r w:rsidRPr="00BD246F">
            <w:rPr>
              <w:rFonts w:ascii="Times New Roman" w:eastAsia="Times New Roman" w:hAnsi="Times New Roman" w:cs="Times New Roman"/>
              <w:bCs w:val="0"/>
              <w:sz w:val="24"/>
              <w:szCs w:val="24"/>
              <w:lang w:val="bg-BG" w:eastAsia="en-US"/>
            </w:rPr>
            <w:t>СЪДЪРЖАНИЕ</w:t>
          </w:r>
        </w:p>
        <w:p w14:paraId="455A519A" w14:textId="6D9B592C" w:rsidR="007654B0" w:rsidRPr="007654B0" w:rsidRDefault="00ED1556">
          <w:pPr>
            <w:pStyle w:val="TOC1"/>
            <w:tabs>
              <w:tab w:val="right" w:leader="dot" w:pos="9396"/>
            </w:tabs>
            <w:rPr>
              <w:rFonts w:ascii="Times New Roman" w:eastAsiaTheme="minorEastAsia" w:hAnsi="Times New Roman" w:cs="Times New Roman"/>
              <w:b w:val="0"/>
              <w:bCs w:val="0"/>
              <w:noProof/>
              <w:lang w:val="en-GB" w:eastAsia="en-GB"/>
            </w:rPr>
          </w:pPr>
          <w:r w:rsidRPr="003B1BE0">
            <w:rPr>
              <w:rFonts w:ascii="Times New Roman" w:hAnsi="Times New Roman" w:cs="Times New Roman"/>
              <w:lang w:val="bg-BG"/>
            </w:rPr>
            <w:fldChar w:fldCharType="begin"/>
          </w:r>
          <w:r w:rsidRPr="003B1BE0">
            <w:rPr>
              <w:rFonts w:ascii="Times New Roman" w:hAnsi="Times New Roman" w:cs="Times New Roman"/>
              <w:lang w:val="bg-BG"/>
            </w:rPr>
            <w:instrText xml:space="preserve"> TOC \o "1-3" \h \z \u </w:instrText>
          </w:r>
          <w:r w:rsidRPr="003B1BE0">
            <w:rPr>
              <w:rFonts w:ascii="Times New Roman" w:hAnsi="Times New Roman" w:cs="Times New Roman"/>
              <w:lang w:val="bg-BG"/>
            </w:rPr>
            <w:fldChar w:fldCharType="separate"/>
          </w:r>
          <w:hyperlink w:anchor="_Toc74125045" w:history="1">
            <w:r w:rsidR="007654B0" w:rsidRPr="007654B0">
              <w:rPr>
                <w:rStyle w:val="Hyperlink"/>
                <w:rFonts w:ascii="Times New Roman" w:hAnsi="Times New Roman" w:cs="Times New Roman"/>
                <w:b w:val="0"/>
                <w:bCs w:val="0"/>
                <w:noProof/>
              </w:rPr>
              <w:t>Приложение III.3.5. Химикали</w:t>
            </w:r>
            <w:r w:rsidR="007654B0" w:rsidRPr="007654B0">
              <w:rPr>
                <w:rFonts w:ascii="Times New Roman" w:hAnsi="Times New Roman" w:cs="Times New Roman"/>
                <w:b w:val="0"/>
                <w:bCs w:val="0"/>
                <w:noProof/>
                <w:webHidden/>
              </w:rPr>
              <w:tab/>
            </w:r>
            <w:r w:rsidR="007654B0" w:rsidRPr="007654B0">
              <w:rPr>
                <w:rFonts w:ascii="Times New Roman" w:hAnsi="Times New Roman" w:cs="Times New Roman"/>
                <w:b w:val="0"/>
                <w:bCs w:val="0"/>
                <w:noProof/>
                <w:webHidden/>
              </w:rPr>
              <w:fldChar w:fldCharType="begin"/>
            </w:r>
            <w:r w:rsidR="007654B0" w:rsidRPr="007654B0">
              <w:rPr>
                <w:rFonts w:ascii="Times New Roman" w:hAnsi="Times New Roman" w:cs="Times New Roman"/>
                <w:b w:val="0"/>
                <w:bCs w:val="0"/>
                <w:noProof/>
                <w:webHidden/>
              </w:rPr>
              <w:instrText xml:space="preserve"> PAGEREF _Toc74125045 \h </w:instrText>
            </w:r>
            <w:r w:rsidR="007654B0" w:rsidRPr="007654B0">
              <w:rPr>
                <w:rFonts w:ascii="Times New Roman" w:hAnsi="Times New Roman" w:cs="Times New Roman"/>
                <w:b w:val="0"/>
                <w:bCs w:val="0"/>
                <w:noProof/>
                <w:webHidden/>
              </w:rPr>
            </w:r>
            <w:r w:rsidR="007654B0" w:rsidRPr="007654B0">
              <w:rPr>
                <w:rFonts w:ascii="Times New Roman" w:hAnsi="Times New Roman" w:cs="Times New Roman"/>
                <w:b w:val="0"/>
                <w:bCs w:val="0"/>
                <w:noProof/>
                <w:webHidden/>
              </w:rPr>
              <w:fldChar w:fldCharType="separate"/>
            </w:r>
            <w:r w:rsidR="007654B0" w:rsidRPr="007654B0">
              <w:rPr>
                <w:rFonts w:ascii="Times New Roman" w:hAnsi="Times New Roman" w:cs="Times New Roman"/>
                <w:b w:val="0"/>
                <w:bCs w:val="0"/>
                <w:noProof/>
                <w:webHidden/>
              </w:rPr>
              <w:t>1</w:t>
            </w:r>
            <w:r w:rsidR="007654B0" w:rsidRPr="007654B0">
              <w:rPr>
                <w:rFonts w:ascii="Times New Roman" w:hAnsi="Times New Roman" w:cs="Times New Roman"/>
                <w:b w:val="0"/>
                <w:bCs w:val="0"/>
                <w:noProof/>
                <w:webHidden/>
              </w:rPr>
              <w:fldChar w:fldCharType="end"/>
            </w:r>
          </w:hyperlink>
        </w:p>
        <w:p w14:paraId="34F95218" w14:textId="2ABDCBE8" w:rsidR="007654B0" w:rsidRPr="007654B0" w:rsidRDefault="004575FB">
          <w:pPr>
            <w:pStyle w:val="TOC2"/>
            <w:tabs>
              <w:tab w:val="right" w:leader="dot" w:pos="9396"/>
            </w:tabs>
            <w:rPr>
              <w:rFonts w:ascii="Times New Roman" w:eastAsiaTheme="minorEastAsia" w:hAnsi="Times New Roman" w:cs="Times New Roman"/>
              <w:b w:val="0"/>
              <w:bCs w:val="0"/>
              <w:noProof/>
              <w:lang w:val="en-GB" w:eastAsia="en-GB"/>
            </w:rPr>
          </w:pPr>
          <w:hyperlink w:anchor="_Toc74125046" w:history="1">
            <w:r w:rsidR="007654B0" w:rsidRPr="007654B0">
              <w:rPr>
                <w:rStyle w:val="Hyperlink"/>
                <w:rFonts w:ascii="Times New Roman" w:hAnsi="Times New Roman" w:cs="Times New Roman"/>
                <w:b w:val="0"/>
                <w:bCs w:val="0"/>
                <w:noProof/>
                <w:lang w:val="bg-BG"/>
              </w:rPr>
              <w:t>Въведение.</w:t>
            </w:r>
            <w:r w:rsidR="007654B0" w:rsidRPr="007654B0">
              <w:rPr>
                <w:rFonts w:ascii="Times New Roman" w:hAnsi="Times New Roman" w:cs="Times New Roman"/>
                <w:b w:val="0"/>
                <w:bCs w:val="0"/>
                <w:noProof/>
                <w:webHidden/>
              </w:rPr>
              <w:tab/>
            </w:r>
            <w:r w:rsidR="007654B0" w:rsidRPr="007654B0">
              <w:rPr>
                <w:rFonts w:ascii="Times New Roman" w:hAnsi="Times New Roman" w:cs="Times New Roman"/>
                <w:b w:val="0"/>
                <w:bCs w:val="0"/>
                <w:noProof/>
                <w:webHidden/>
              </w:rPr>
              <w:fldChar w:fldCharType="begin"/>
            </w:r>
            <w:r w:rsidR="007654B0" w:rsidRPr="007654B0">
              <w:rPr>
                <w:rFonts w:ascii="Times New Roman" w:hAnsi="Times New Roman" w:cs="Times New Roman"/>
                <w:b w:val="0"/>
                <w:bCs w:val="0"/>
                <w:noProof/>
                <w:webHidden/>
              </w:rPr>
              <w:instrText xml:space="preserve"> PAGEREF _Toc74125046 \h </w:instrText>
            </w:r>
            <w:r w:rsidR="007654B0" w:rsidRPr="007654B0">
              <w:rPr>
                <w:rFonts w:ascii="Times New Roman" w:hAnsi="Times New Roman" w:cs="Times New Roman"/>
                <w:b w:val="0"/>
                <w:bCs w:val="0"/>
                <w:noProof/>
                <w:webHidden/>
              </w:rPr>
            </w:r>
            <w:r w:rsidR="007654B0" w:rsidRPr="007654B0">
              <w:rPr>
                <w:rFonts w:ascii="Times New Roman" w:hAnsi="Times New Roman" w:cs="Times New Roman"/>
                <w:b w:val="0"/>
                <w:bCs w:val="0"/>
                <w:noProof/>
                <w:webHidden/>
              </w:rPr>
              <w:fldChar w:fldCharType="separate"/>
            </w:r>
            <w:r w:rsidR="007654B0" w:rsidRPr="007654B0">
              <w:rPr>
                <w:rFonts w:ascii="Times New Roman" w:hAnsi="Times New Roman" w:cs="Times New Roman"/>
                <w:b w:val="0"/>
                <w:bCs w:val="0"/>
                <w:noProof/>
                <w:webHidden/>
              </w:rPr>
              <w:t>2</w:t>
            </w:r>
            <w:r w:rsidR="007654B0" w:rsidRPr="007654B0">
              <w:rPr>
                <w:rFonts w:ascii="Times New Roman" w:hAnsi="Times New Roman" w:cs="Times New Roman"/>
                <w:b w:val="0"/>
                <w:bCs w:val="0"/>
                <w:noProof/>
                <w:webHidden/>
              </w:rPr>
              <w:fldChar w:fldCharType="end"/>
            </w:r>
          </w:hyperlink>
        </w:p>
        <w:p w14:paraId="5BCF31B1" w14:textId="60B36451" w:rsidR="007654B0" w:rsidRPr="007654B0" w:rsidRDefault="004575FB">
          <w:pPr>
            <w:pStyle w:val="TOC2"/>
            <w:tabs>
              <w:tab w:val="right" w:leader="dot" w:pos="9396"/>
            </w:tabs>
            <w:rPr>
              <w:rFonts w:ascii="Times New Roman" w:eastAsiaTheme="minorEastAsia" w:hAnsi="Times New Roman" w:cs="Times New Roman"/>
              <w:b w:val="0"/>
              <w:bCs w:val="0"/>
              <w:noProof/>
              <w:lang w:val="en-GB" w:eastAsia="en-GB"/>
            </w:rPr>
          </w:pPr>
          <w:hyperlink w:anchor="_Toc74125047" w:history="1">
            <w:r w:rsidR="007654B0" w:rsidRPr="007654B0">
              <w:rPr>
                <w:rStyle w:val="Hyperlink"/>
                <w:rFonts w:ascii="Times New Roman" w:eastAsia="Times New Roman" w:hAnsi="Times New Roman" w:cs="Times New Roman"/>
                <w:b w:val="0"/>
                <w:bCs w:val="0"/>
                <w:noProof/>
                <w:lang w:val="bg-BG"/>
              </w:rPr>
              <w:t>Контекст и цели на политиките в областта на химикалите, международен, европейски и национален контекст</w:t>
            </w:r>
            <w:r w:rsidR="007654B0" w:rsidRPr="007654B0">
              <w:rPr>
                <w:rFonts w:ascii="Times New Roman" w:hAnsi="Times New Roman" w:cs="Times New Roman"/>
                <w:b w:val="0"/>
                <w:bCs w:val="0"/>
                <w:noProof/>
                <w:webHidden/>
              </w:rPr>
              <w:tab/>
            </w:r>
            <w:r w:rsidR="007654B0" w:rsidRPr="007654B0">
              <w:rPr>
                <w:rFonts w:ascii="Times New Roman" w:hAnsi="Times New Roman" w:cs="Times New Roman"/>
                <w:b w:val="0"/>
                <w:bCs w:val="0"/>
                <w:noProof/>
                <w:webHidden/>
              </w:rPr>
              <w:fldChar w:fldCharType="begin"/>
            </w:r>
            <w:r w:rsidR="007654B0" w:rsidRPr="007654B0">
              <w:rPr>
                <w:rFonts w:ascii="Times New Roman" w:hAnsi="Times New Roman" w:cs="Times New Roman"/>
                <w:b w:val="0"/>
                <w:bCs w:val="0"/>
                <w:noProof/>
                <w:webHidden/>
              </w:rPr>
              <w:instrText xml:space="preserve"> PAGEREF _Toc74125047 \h </w:instrText>
            </w:r>
            <w:r w:rsidR="007654B0" w:rsidRPr="007654B0">
              <w:rPr>
                <w:rFonts w:ascii="Times New Roman" w:hAnsi="Times New Roman" w:cs="Times New Roman"/>
                <w:b w:val="0"/>
                <w:bCs w:val="0"/>
                <w:noProof/>
                <w:webHidden/>
              </w:rPr>
            </w:r>
            <w:r w:rsidR="007654B0" w:rsidRPr="007654B0">
              <w:rPr>
                <w:rFonts w:ascii="Times New Roman" w:hAnsi="Times New Roman" w:cs="Times New Roman"/>
                <w:b w:val="0"/>
                <w:bCs w:val="0"/>
                <w:noProof/>
                <w:webHidden/>
              </w:rPr>
              <w:fldChar w:fldCharType="separate"/>
            </w:r>
            <w:r w:rsidR="007654B0" w:rsidRPr="007654B0">
              <w:rPr>
                <w:rFonts w:ascii="Times New Roman" w:hAnsi="Times New Roman" w:cs="Times New Roman"/>
                <w:b w:val="0"/>
                <w:bCs w:val="0"/>
                <w:noProof/>
                <w:webHidden/>
              </w:rPr>
              <w:t>3</w:t>
            </w:r>
            <w:r w:rsidR="007654B0" w:rsidRPr="007654B0">
              <w:rPr>
                <w:rFonts w:ascii="Times New Roman" w:hAnsi="Times New Roman" w:cs="Times New Roman"/>
                <w:b w:val="0"/>
                <w:bCs w:val="0"/>
                <w:noProof/>
                <w:webHidden/>
              </w:rPr>
              <w:fldChar w:fldCharType="end"/>
            </w:r>
          </w:hyperlink>
        </w:p>
        <w:p w14:paraId="36B23E60" w14:textId="54C93822" w:rsidR="007654B0" w:rsidRPr="007654B0" w:rsidRDefault="004575FB">
          <w:pPr>
            <w:pStyle w:val="TOC2"/>
            <w:tabs>
              <w:tab w:val="right" w:leader="dot" w:pos="9396"/>
            </w:tabs>
            <w:rPr>
              <w:rFonts w:ascii="Times New Roman" w:eastAsiaTheme="minorEastAsia" w:hAnsi="Times New Roman" w:cs="Times New Roman"/>
              <w:b w:val="0"/>
              <w:bCs w:val="0"/>
              <w:noProof/>
              <w:lang w:val="en-GB" w:eastAsia="en-GB"/>
            </w:rPr>
          </w:pPr>
          <w:hyperlink w:anchor="_Toc74125048" w:history="1">
            <w:r w:rsidR="007654B0" w:rsidRPr="007654B0">
              <w:rPr>
                <w:rStyle w:val="Hyperlink"/>
                <w:rFonts w:ascii="Times New Roman" w:eastAsia="Times New Roman" w:hAnsi="Times New Roman" w:cs="Times New Roman"/>
                <w:b w:val="0"/>
                <w:bCs w:val="0"/>
                <w:noProof/>
                <w:lang w:val="bg-BG"/>
              </w:rPr>
              <w:t>Тенденции и предизвикателства</w:t>
            </w:r>
            <w:r w:rsidR="007654B0" w:rsidRPr="007654B0">
              <w:rPr>
                <w:rFonts w:ascii="Times New Roman" w:hAnsi="Times New Roman" w:cs="Times New Roman"/>
                <w:b w:val="0"/>
                <w:bCs w:val="0"/>
                <w:noProof/>
                <w:webHidden/>
              </w:rPr>
              <w:tab/>
            </w:r>
            <w:r w:rsidR="007654B0" w:rsidRPr="007654B0">
              <w:rPr>
                <w:rFonts w:ascii="Times New Roman" w:hAnsi="Times New Roman" w:cs="Times New Roman"/>
                <w:b w:val="0"/>
                <w:bCs w:val="0"/>
                <w:noProof/>
                <w:webHidden/>
              </w:rPr>
              <w:fldChar w:fldCharType="begin"/>
            </w:r>
            <w:r w:rsidR="007654B0" w:rsidRPr="007654B0">
              <w:rPr>
                <w:rFonts w:ascii="Times New Roman" w:hAnsi="Times New Roman" w:cs="Times New Roman"/>
                <w:b w:val="0"/>
                <w:bCs w:val="0"/>
                <w:noProof/>
                <w:webHidden/>
              </w:rPr>
              <w:instrText xml:space="preserve"> PAGEREF _Toc74125048 \h </w:instrText>
            </w:r>
            <w:r w:rsidR="007654B0" w:rsidRPr="007654B0">
              <w:rPr>
                <w:rFonts w:ascii="Times New Roman" w:hAnsi="Times New Roman" w:cs="Times New Roman"/>
                <w:b w:val="0"/>
                <w:bCs w:val="0"/>
                <w:noProof/>
                <w:webHidden/>
              </w:rPr>
            </w:r>
            <w:r w:rsidR="007654B0" w:rsidRPr="007654B0">
              <w:rPr>
                <w:rFonts w:ascii="Times New Roman" w:hAnsi="Times New Roman" w:cs="Times New Roman"/>
                <w:b w:val="0"/>
                <w:bCs w:val="0"/>
                <w:noProof/>
                <w:webHidden/>
              </w:rPr>
              <w:fldChar w:fldCharType="separate"/>
            </w:r>
            <w:r w:rsidR="007654B0" w:rsidRPr="007654B0">
              <w:rPr>
                <w:rFonts w:ascii="Times New Roman" w:hAnsi="Times New Roman" w:cs="Times New Roman"/>
                <w:b w:val="0"/>
                <w:bCs w:val="0"/>
                <w:noProof/>
                <w:webHidden/>
              </w:rPr>
              <w:t>13</w:t>
            </w:r>
            <w:r w:rsidR="007654B0" w:rsidRPr="007654B0">
              <w:rPr>
                <w:rFonts w:ascii="Times New Roman" w:hAnsi="Times New Roman" w:cs="Times New Roman"/>
                <w:b w:val="0"/>
                <w:bCs w:val="0"/>
                <w:noProof/>
                <w:webHidden/>
              </w:rPr>
              <w:fldChar w:fldCharType="end"/>
            </w:r>
          </w:hyperlink>
        </w:p>
        <w:p w14:paraId="6F0FB201" w14:textId="7A53D269" w:rsidR="007654B0" w:rsidRPr="007654B0" w:rsidRDefault="004575FB">
          <w:pPr>
            <w:pStyle w:val="TOC2"/>
            <w:tabs>
              <w:tab w:val="right" w:leader="dot" w:pos="9396"/>
            </w:tabs>
            <w:rPr>
              <w:rFonts w:ascii="Times New Roman" w:eastAsiaTheme="minorEastAsia" w:hAnsi="Times New Roman" w:cs="Times New Roman"/>
              <w:b w:val="0"/>
              <w:bCs w:val="0"/>
              <w:noProof/>
              <w:lang w:val="en-GB" w:eastAsia="en-GB"/>
            </w:rPr>
          </w:pPr>
          <w:hyperlink w:anchor="_Toc74125049" w:history="1">
            <w:r w:rsidR="007654B0" w:rsidRPr="007654B0">
              <w:rPr>
                <w:rStyle w:val="Hyperlink"/>
                <w:rFonts w:ascii="Times New Roman" w:eastAsia="Times New Roman" w:hAnsi="Times New Roman" w:cs="Times New Roman"/>
                <w:b w:val="0"/>
                <w:bCs w:val="0"/>
                <w:noProof/>
                <w:lang w:val="bg-BG"/>
              </w:rPr>
              <w:t>Перспективи и препоръки за постигане на целите</w:t>
            </w:r>
            <w:r w:rsidR="007654B0" w:rsidRPr="007654B0">
              <w:rPr>
                <w:rFonts w:ascii="Times New Roman" w:hAnsi="Times New Roman" w:cs="Times New Roman"/>
                <w:b w:val="0"/>
                <w:bCs w:val="0"/>
                <w:noProof/>
                <w:webHidden/>
              </w:rPr>
              <w:tab/>
            </w:r>
            <w:r w:rsidR="007654B0" w:rsidRPr="007654B0">
              <w:rPr>
                <w:rFonts w:ascii="Times New Roman" w:hAnsi="Times New Roman" w:cs="Times New Roman"/>
                <w:b w:val="0"/>
                <w:bCs w:val="0"/>
                <w:noProof/>
                <w:webHidden/>
              </w:rPr>
              <w:fldChar w:fldCharType="begin"/>
            </w:r>
            <w:r w:rsidR="007654B0" w:rsidRPr="007654B0">
              <w:rPr>
                <w:rFonts w:ascii="Times New Roman" w:hAnsi="Times New Roman" w:cs="Times New Roman"/>
                <w:b w:val="0"/>
                <w:bCs w:val="0"/>
                <w:noProof/>
                <w:webHidden/>
              </w:rPr>
              <w:instrText xml:space="preserve"> PAGEREF _Toc74125049 \h </w:instrText>
            </w:r>
            <w:r w:rsidR="007654B0" w:rsidRPr="007654B0">
              <w:rPr>
                <w:rFonts w:ascii="Times New Roman" w:hAnsi="Times New Roman" w:cs="Times New Roman"/>
                <w:b w:val="0"/>
                <w:bCs w:val="0"/>
                <w:noProof/>
                <w:webHidden/>
              </w:rPr>
            </w:r>
            <w:r w:rsidR="007654B0" w:rsidRPr="007654B0">
              <w:rPr>
                <w:rFonts w:ascii="Times New Roman" w:hAnsi="Times New Roman" w:cs="Times New Roman"/>
                <w:b w:val="0"/>
                <w:bCs w:val="0"/>
                <w:noProof/>
                <w:webHidden/>
              </w:rPr>
              <w:fldChar w:fldCharType="separate"/>
            </w:r>
            <w:r w:rsidR="007654B0" w:rsidRPr="007654B0">
              <w:rPr>
                <w:rFonts w:ascii="Times New Roman" w:hAnsi="Times New Roman" w:cs="Times New Roman"/>
                <w:b w:val="0"/>
                <w:bCs w:val="0"/>
                <w:noProof/>
                <w:webHidden/>
              </w:rPr>
              <w:t>18</w:t>
            </w:r>
            <w:r w:rsidR="007654B0" w:rsidRPr="007654B0">
              <w:rPr>
                <w:rFonts w:ascii="Times New Roman" w:hAnsi="Times New Roman" w:cs="Times New Roman"/>
                <w:b w:val="0"/>
                <w:bCs w:val="0"/>
                <w:noProof/>
                <w:webHidden/>
              </w:rPr>
              <w:fldChar w:fldCharType="end"/>
            </w:r>
          </w:hyperlink>
        </w:p>
        <w:p w14:paraId="482CB4FE" w14:textId="60BE61C8" w:rsidR="007654B0" w:rsidRPr="007654B0" w:rsidRDefault="004575FB">
          <w:pPr>
            <w:pStyle w:val="TOC2"/>
            <w:tabs>
              <w:tab w:val="right" w:leader="dot" w:pos="9396"/>
            </w:tabs>
            <w:rPr>
              <w:rFonts w:ascii="Times New Roman" w:eastAsiaTheme="minorEastAsia" w:hAnsi="Times New Roman" w:cs="Times New Roman"/>
              <w:b w:val="0"/>
              <w:bCs w:val="0"/>
              <w:noProof/>
              <w:lang w:val="en-GB" w:eastAsia="en-GB"/>
            </w:rPr>
          </w:pPr>
          <w:hyperlink w:anchor="_Toc74125050" w:history="1">
            <w:r w:rsidR="007654B0" w:rsidRPr="007654B0">
              <w:rPr>
                <w:rStyle w:val="Hyperlink"/>
                <w:rFonts w:ascii="Times New Roman" w:eastAsia="Times New Roman" w:hAnsi="Times New Roman" w:cs="Times New Roman"/>
                <w:b w:val="0"/>
                <w:bCs w:val="0"/>
                <w:noProof/>
                <w:lang w:val="bg-BG"/>
              </w:rPr>
              <w:t xml:space="preserve">Перспективи и препоръки за постигане на целите </w:t>
            </w:r>
            <w:r w:rsidR="007654B0" w:rsidRPr="007654B0">
              <w:rPr>
                <w:rFonts w:ascii="Times New Roman" w:hAnsi="Times New Roman" w:cs="Times New Roman"/>
                <w:b w:val="0"/>
                <w:bCs w:val="0"/>
                <w:noProof/>
                <w:webHidden/>
              </w:rPr>
              <w:tab/>
            </w:r>
            <w:r w:rsidR="007654B0" w:rsidRPr="007654B0">
              <w:rPr>
                <w:rFonts w:ascii="Times New Roman" w:hAnsi="Times New Roman" w:cs="Times New Roman"/>
                <w:b w:val="0"/>
                <w:bCs w:val="0"/>
                <w:noProof/>
                <w:webHidden/>
              </w:rPr>
              <w:fldChar w:fldCharType="begin"/>
            </w:r>
            <w:r w:rsidR="007654B0" w:rsidRPr="007654B0">
              <w:rPr>
                <w:rFonts w:ascii="Times New Roman" w:hAnsi="Times New Roman" w:cs="Times New Roman"/>
                <w:b w:val="0"/>
                <w:bCs w:val="0"/>
                <w:noProof/>
                <w:webHidden/>
              </w:rPr>
              <w:instrText xml:space="preserve"> PAGEREF _Toc74125050 \h </w:instrText>
            </w:r>
            <w:r w:rsidR="007654B0" w:rsidRPr="007654B0">
              <w:rPr>
                <w:rFonts w:ascii="Times New Roman" w:hAnsi="Times New Roman" w:cs="Times New Roman"/>
                <w:b w:val="0"/>
                <w:bCs w:val="0"/>
                <w:noProof/>
                <w:webHidden/>
              </w:rPr>
            </w:r>
            <w:r w:rsidR="007654B0" w:rsidRPr="007654B0">
              <w:rPr>
                <w:rFonts w:ascii="Times New Roman" w:hAnsi="Times New Roman" w:cs="Times New Roman"/>
                <w:b w:val="0"/>
                <w:bCs w:val="0"/>
                <w:noProof/>
                <w:webHidden/>
              </w:rPr>
              <w:fldChar w:fldCharType="separate"/>
            </w:r>
            <w:r w:rsidR="007654B0" w:rsidRPr="007654B0">
              <w:rPr>
                <w:rFonts w:ascii="Times New Roman" w:hAnsi="Times New Roman" w:cs="Times New Roman"/>
                <w:b w:val="0"/>
                <w:bCs w:val="0"/>
                <w:noProof/>
                <w:webHidden/>
              </w:rPr>
              <w:t>18</w:t>
            </w:r>
            <w:r w:rsidR="007654B0" w:rsidRPr="007654B0">
              <w:rPr>
                <w:rFonts w:ascii="Times New Roman" w:hAnsi="Times New Roman" w:cs="Times New Roman"/>
                <w:b w:val="0"/>
                <w:bCs w:val="0"/>
                <w:noProof/>
                <w:webHidden/>
              </w:rPr>
              <w:fldChar w:fldCharType="end"/>
            </w:r>
          </w:hyperlink>
        </w:p>
        <w:p w14:paraId="1B1979F8" w14:textId="76284C03" w:rsidR="00ED1556" w:rsidRPr="003B1BE0" w:rsidRDefault="00ED1556" w:rsidP="00ED1556">
          <w:pPr>
            <w:spacing w:line="360" w:lineRule="auto"/>
            <w:rPr>
              <w:rFonts w:ascii="Times New Roman" w:hAnsi="Times New Roman" w:cs="Times New Roman"/>
              <w:b/>
              <w:bCs/>
              <w:lang w:val="bg-BG"/>
            </w:rPr>
          </w:pPr>
          <w:r w:rsidRPr="003B1BE0">
            <w:rPr>
              <w:rFonts w:ascii="Times New Roman" w:hAnsi="Times New Roman" w:cs="Times New Roman"/>
              <w:b/>
              <w:bCs/>
              <w:noProof/>
              <w:lang w:val="bg-BG"/>
            </w:rPr>
            <w:fldChar w:fldCharType="end"/>
          </w:r>
        </w:p>
      </w:sdtContent>
    </w:sdt>
    <w:p w14:paraId="7AA92EC0" w14:textId="77777777" w:rsidR="00ED1556" w:rsidRPr="00BD246F" w:rsidRDefault="00ED1556" w:rsidP="00CB4F78">
      <w:pPr>
        <w:spacing w:line="256" w:lineRule="auto"/>
        <w:ind w:left="720"/>
        <w:rPr>
          <w:rFonts w:ascii="Calibri" w:eastAsia="Times New Roman" w:hAnsi="Calibri" w:cs="Calibri"/>
          <w:lang w:val="bg-BG"/>
        </w:rPr>
      </w:pPr>
    </w:p>
    <w:p w14:paraId="210C7A68" w14:textId="3BA31E44" w:rsidR="00994F62" w:rsidRPr="00BD246F" w:rsidRDefault="00994F62">
      <w:pPr>
        <w:rPr>
          <w:lang w:val="bg-BG"/>
        </w:rPr>
      </w:pPr>
    </w:p>
    <w:p w14:paraId="435CB94F" w14:textId="5B73C089" w:rsidR="00ED1556" w:rsidRPr="00873096" w:rsidRDefault="00873096">
      <w:pPr>
        <w:rPr>
          <w:rFonts w:ascii="Times New Roman" w:hAnsi="Times New Roman" w:cs="Times New Roman"/>
          <w:b/>
          <w:bCs/>
          <w:lang w:val="bg-BG"/>
        </w:rPr>
      </w:pPr>
      <w:r w:rsidRPr="00873096">
        <w:rPr>
          <w:rFonts w:ascii="Times New Roman" w:hAnsi="Times New Roman" w:cs="Times New Roman"/>
          <w:b/>
          <w:bCs/>
          <w:lang w:val="bg-BG"/>
        </w:rPr>
        <w:t>Списък на фигурите:</w:t>
      </w:r>
    </w:p>
    <w:p w14:paraId="707FB8F1" w14:textId="17E80712" w:rsidR="00873096" w:rsidRPr="00873096" w:rsidRDefault="00873096">
      <w:pPr>
        <w:pStyle w:val="TableofFigures"/>
        <w:tabs>
          <w:tab w:val="right" w:leader="dot" w:pos="9396"/>
        </w:tabs>
        <w:rPr>
          <w:rFonts w:ascii="Times New Roman" w:eastAsiaTheme="minorEastAsia" w:hAnsi="Times New Roman" w:cs="Times New Roman"/>
          <w:noProof/>
          <w:lang w:val="en-GB" w:eastAsia="en-GB"/>
        </w:rPr>
      </w:pPr>
      <w:r w:rsidRPr="00873096">
        <w:rPr>
          <w:rFonts w:ascii="Times New Roman" w:hAnsi="Times New Roman" w:cs="Times New Roman"/>
          <w:lang w:val="bg-BG"/>
        </w:rPr>
        <w:fldChar w:fldCharType="begin"/>
      </w:r>
      <w:r w:rsidRPr="00873096">
        <w:rPr>
          <w:rFonts w:ascii="Times New Roman" w:hAnsi="Times New Roman" w:cs="Times New Roman"/>
          <w:lang w:val="bg-BG"/>
        </w:rPr>
        <w:instrText xml:space="preserve"> TOC \h \z \c "Фигура" </w:instrText>
      </w:r>
      <w:r w:rsidRPr="00873096">
        <w:rPr>
          <w:rFonts w:ascii="Times New Roman" w:hAnsi="Times New Roman" w:cs="Times New Roman"/>
          <w:lang w:val="bg-BG"/>
        </w:rPr>
        <w:fldChar w:fldCharType="separate"/>
      </w:r>
      <w:hyperlink w:anchor="_Toc73013954" w:history="1">
        <w:r w:rsidRPr="00873096">
          <w:rPr>
            <w:rStyle w:val="Hyperlink"/>
            <w:rFonts w:ascii="Times New Roman" w:hAnsi="Times New Roman" w:cs="Times New Roman"/>
            <w:noProof/>
          </w:rPr>
          <w:t>Фигура 1: Йерархия на нетоксичността — нова йерархия в управлението на химикалите</w:t>
        </w:r>
        <w:r w:rsidRPr="00873096">
          <w:rPr>
            <w:rFonts w:ascii="Times New Roman" w:hAnsi="Times New Roman" w:cs="Times New Roman"/>
            <w:noProof/>
            <w:webHidden/>
          </w:rPr>
          <w:tab/>
        </w:r>
        <w:r w:rsidRPr="00873096">
          <w:rPr>
            <w:rFonts w:ascii="Times New Roman" w:hAnsi="Times New Roman" w:cs="Times New Roman"/>
            <w:noProof/>
            <w:webHidden/>
          </w:rPr>
          <w:fldChar w:fldCharType="begin"/>
        </w:r>
        <w:r w:rsidRPr="00873096">
          <w:rPr>
            <w:rFonts w:ascii="Times New Roman" w:hAnsi="Times New Roman" w:cs="Times New Roman"/>
            <w:noProof/>
            <w:webHidden/>
          </w:rPr>
          <w:instrText xml:space="preserve"> PAGEREF _Toc73013954 \h </w:instrText>
        </w:r>
        <w:r w:rsidRPr="00873096">
          <w:rPr>
            <w:rFonts w:ascii="Times New Roman" w:hAnsi="Times New Roman" w:cs="Times New Roman"/>
            <w:noProof/>
            <w:webHidden/>
          </w:rPr>
        </w:r>
        <w:r w:rsidRPr="00873096">
          <w:rPr>
            <w:rFonts w:ascii="Times New Roman" w:hAnsi="Times New Roman" w:cs="Times New Roman"/>
            <w:noProof/>
            <w:webHidden/>
          </w:rPr>
          <w:fldChar w:fldCharType="separate"/>
        </w:r>
        <w:r w:rsidRPr="00873096">
          <w:rPr>
            <w:rFonts w:ascii="Times New Roman" w:hAnsi="Times New Roman" w:cs="Times New Roman"/>
            <w:noProof/>
            <w:webHidden/>
          </w:rPr>
          <w:t>4</w:t>
        </w:r>
        <w:r w:rsidRPr="00873096">
          <w:rPr>
            <w:rFonts w:ascii="Times New Roman" w:hAnsi="Times New Roman" w:cs="Times New Roman"/>
            <w:noProof/>
            <w:webHidden/>
          </w:rPr>
          <w:fldChar w:fldCharType="end"/>
        </w:r>
      </w:hyperlink>
    </w:p>
    <w:p w14:paraId="6EE6F11B" w14:textId="205DF404" w:rsidR="00873096" w:rsidRPr="00873096" w:rsidRDefault="004575FB">
      <w:pPr>
        <w:pStyle w:val="TableofFigures"/>
        <w:tabs>
          <w:tab w:val="right" w:leader="dot" w:pos="9396"/>
        </w:tabs>
        <w:rPr>
          <w:rFonts w:ascii="Times New Roman" w:eastAsiaTheme="minorEastAsia" w:hAnsi="Times New Roman" w:cs="Times New Roman"/>
          <w:noProof/>
          <w:lang w:val="en-GB" w:eastAsia="en-GB"/>
        </w:rPr>
      </w:pPr>
      <w:hyperlink w:anchor="_Toc73013955" w:history="1">
        <w:r w:rsidR="00873096" w:rsidRPr="00873096">
          <w:rPr>
            <w:rStyle w:val="Hyperlink"/>
            <w:rFonts w:ascii="Times New Roman" w:hAnsi="Times New Roman" w:cs="Times New Roman"/>
            <w:noProof/>
          </w:rPr>
          <w:t>Фигура 2: Тенденции и перспективи за сектор Химични вещества, ЕС</w:t>
        </w:r>
        <w:r w:rsidR="00873096" w:rsidRPr="00873096">
          <w:rPr>
            <w:rFonts w:ascii="Times New Roman" w:hAnsi="Times New Roman" w:cs="Times New Roman"/>
            <w:noProof/>
            <w:webHidden/>
          </w:rPr>
          <w:tab/>
        </w:r>
        <w:r w:rsidR="00873096" w:rsidRPr="00873096">
          <w:rPr>
            <w:rFonts w:ascii="Times New Roman" w:hAnsi="Times New Roman" w:cs="Times New Roman"/>
            <w:noProof/>
            <w:webHidden/>
          </w:rPr>
          <w:fldChar w:fldCharType="begin"/>
        </w:r>
        <w:r w:rsidR="00873096" w:rsidRPr="00873096">
          <w:rPr>
            <w:rFonts w:ascii="Times New Roman" w:hAnsi="Times New Roman" w:cs="Times New Roman"/>
            <w:noProof/>
            <w:webHidden/>
          </w:rPr>
          <w:instrText xml:space="preserve"> PAGEREF _Toc73013955 \h </w:instrText>
        </w:r>
        <w:r w:rsidR="00873096" w:rsidRPr="00873096">
          <w:rPr>
            <w:rFonts w:ascii="Times New Roman" w:hAnsi="Times New Roman" w:cs="Times New Roman"/>
            <w:noProof/>
            <w:webHidden/>
          </w:rPr>
        </w:r>
        <w:r w:rsidR="00873096" w:rsidRPr="00873096">
          <w:rPr>
            <w:rFonts w:ascii="Times New Roman" w:hAnsi="Times New Roman" w:cs="Times New Roman"/>
            <w:noProof/>
            <w:webHidden/>
          </w:rPr>
          <w:fldChar w:fldCharType="separate"/>
        </w:r>
        <w:r w:rsidR="00873096" w:rsidRPr="00873096">
          <w:rPr>
            <w:rFonts w:ascii="Times New Roman" w:hAnsi="Times New Roman" w:cs="Times New Roman"/>
            <w:noProof/>
            <w:webHidden/>
          </w:rPr>
          <w:t>13</w:t>
        </w:r>
        <w:r w:rsidR="00873096" w:rsidRPr="00873096">
          <w:rPr>
            <w:rFonts w:ascii="Times New Roman" w:hAnsi="Times New Roman" w:cs="Times New Roman"/>
            <w:noProof/>
            <w:webHidden/>
          </w:rPr>
          <w:fldChar w:fldCharType="end"/>
        </w:r>
      </w:hyperlink>
    </w:p>
    <w:p w14:paraId="2CBC86E1" w14:textId="6852FFD3" w:rsidR="00873096" w:rsidRPr="00873096" w:rsidRDefault="004575FB">
      <w:pPr>
        <w:pStyle w:val="TableofFigures"/>
        <w:tabs>
          <w:tab w:val="right" w:leader="dot" w:pos="9396"/>
        </w:tabs>
        <w:rPr>
          <w:rFonts w:ascii="Times New Roman" w:eastAsiaTheme="minorEastAsia" w:hAnsi="Times New Roman" w:cs="Times New Roman"/>
          <w:noProof/>
          <w:lang w:val="en-GB" w:eastAsia="en-GB"/>
        </w:rPr>
      </w:pPr>
      <w:hyperlink w:anchor="_Toc73013956" w:history="1">
        <w:r w:rsidR="00873096" w:rsidRPr="00873096">
          <w:rPr>
            <w:rStyle w:val="Hyperlink"/>
            <w:rFonts w:ascii="Times New Roman" w:hAnsi="Times New Roman" w:cs="Times New Roman"/>
            <w:noProof/>
          </w:rPr>
          <w:t>Фигура 3: Тенденции и перспективи за сектор химични вещества, България</w:t>
        </w:r>
        <w:r w:rsidR="00873096" w:rsidRPr="00873096">
          <w:rPr>
            <w:rFonts w:ascii="Times New Roman" w:hAnsi="Times New Roman" w:cs="Times New Roman"/>
            <w:noProof/>
            <w:webHidden/>
          </w:rPr>
          <w:tab/>
        </w:r>
        <w:r w:rsidR="00873096" w:rsidRPr="00873096">
          <w:rPr>
            <w:rFonts w:ascii="Times New Roman" w:hAnsi="Times New Roman" w:cs="Times New Roman"/>
            <w:noProof/>
            <w:webHidden/>
          </w:rPr>
          <w:fldChar w:fldCharType="begin"/>
        </w:r>
        <w:r w:rsidR="00873096" w:rsidRPr="00873096">
          <w:rPr>
            <w:rFonts w:ascii="Times New Roman" w:hAnsi="Times New Roman" w:cs="Times New Roman"/>
            <w:noProof/>
            <w:webHidden/>
          </w:rPr>
          <w:instrText xml:space="preserve"> PAGEREF _Toc73013956 \h </w:instrText>
        </w:r>
        <w:r w:rsidR="00873096" w:rsidRPr="00873096">
          <w:rPr>
            <w:rFonts w:ascii="Times New Roman" w:hAnsi="Times New Roman" w:cs="Times New Roman"/>
            <w:noProof/>
            <w:webHidden/>
          </w:rPr>
        </w:r>
        <w:r w:rsidR="00873096" w:rsidRPr="00873096">
          <w:rPr>
            <w:rFonts w:ascii="Times New Roman" w:hAnsi="Times New Roman" w:cs="Times New Roman"/>
            <w:noProof/>
            <w:webHidden/>
          </w:rPr>
          <w:fldChar w:fldCharType="separate"/>
        </w:r>
        <w:r w:rsidR="00873096" w:rsidRPr="00873096">
          <w:rPr>
            <w:rFonts w:ascii="Times New Roman" w:hAnsi="Times New Roman" w:cs="Times New Roman"/>
            <w:noProof/>
            <w:webHidden/>
          </w:rPr>
          <w:t>14</w:t>
        </w:r>
        <w:r w:rsidR="00873096" w:rsidRPr="00873096">
          <w:rPr>
            <w:rFonts w:ascii="Times New Roman" w:hAnsi="Times New Roman" w:cs="Times New Roman"/>
            <w:noProof/>
            <w:webHidden/>
          </w:rPr>
          <w:fldChar w:fldCharType="end"/>
        </w:r>
      </w:hyperlink>
    </w:p>
    <w:p w14:paraId="7CAFCFE5" w14:textId="578F3922" w:rsidR="00ED1556" w:rsidRPr="00BD246F" w:rsidRDefault="00873096">
      <w:pPr>
        <w:rPr>
          <w:lang w:val="bg-BG"/>
        </w:rPr>
      </w:pPr>
      <w:r w:rsidRPr="00873096">
        <w:rPr>
          <w:rFonts w:ascii="Times New Roman" w:hAnsi="Times New Roman" w:cs="Times New Roman"/>
          <w:lang w:val="bg-BG"/>
        </w:rPr>
        <w:fldChar w:fldCharType="end"/>
      </w:r>
    </w:p>
    <w:p w14:paraId="76C0A1C6" w14:textId="73D4C81F" w:rsidR="00CB4F78" w:rsidRPr="00BD246F" w:rsidRDefault="00CB4F78" w:rsidP="00ED1556">
      <w:pPr>
        <w:pStyle w:val="Heading2"/>
        <w:pageBreakBefore/>
        <w:rPr>
          <w:lang w:val="bg-BG"/>
        </w:rPr>
      </w:pPr>
      <w:bookmarkStart w:id="1" w:name="_Toc74125046"/>
      <w:r w:rsidRPr="00BD246F">
        <w:rPr>
          <w:lang w:val="bg-BG"/>
        </w:rPr>
        <w:lastRenderedPageBreak/>
        <w:t>Въведение</w:t>
      </w:r>
      <w:bookmarkEnd w:id="1"/>
      <w:r w:rsidRPr="00BD246F">
        <w:rPr>
          <w:lang w:val="bg-BG"/>
        </w:rPr>
        <w:t xml:space="preserve"> </w:t>
      </w:r>
    </w:p>
    <w:p w14:paraId="738DDDD4" w14:textId="4DF14CA9" w:rsidR="003F2A00" w:rsidRPr="00DD02E8" w:rsidRDefault="003F2A00" w:rsidP="003F2A00">
      <w:pPr>
        <w:jc w:val="both"/>
        <w:rPr>
          <w:rFonts w:ascii="Times New Roman" w:hAnsi="Times New Roman" w:cs="Times New Roman"/>
          <w:lang w:val="bg-BG"/>
        </w:rPr>
      </w:pPr>
      <w:r w:rsidRPr="00DD02E8">
        <w:rPr>
          <w:rFonts w:ascii="Times New Roman" w:hAnsi="Times New Roman" w:cs="Times New Roman"/>
          <w:lang w:val="bg-BG"/>
        </w:rPr>
        <w:t xml:space="preserve">Химикалите играят важна роля в предоставянето на множество продукти и услуги, които са в основата на ежедневния живот и съвременната икономика. Въпреки това, дори малки количества от някои химикали могат да застрашат </w:t>
      </w:r>
      <w:r w:rsidR="00B75F88" w:rsidRPr="00DD02E8">
        <w:rPr>
          <w:rFonts w:ascii="Times New Roman" w:hAnsi="Times New Roman" w:cs="Times New Roman"/>
          <w:lang w:val="bg-BG"/>
        </w:rPr>
        <w:t>човешкото здраве и околната среда. Б</w:t>
      </w:r>
      <w:r w:rsidRPr="00DD02E8">
        <w:rPr>
          <w:rFonts w:ascii="Times New Roman" w:hAnsi="Times New Roman" w:cs="Times New Roman"/>
          <w:lang w:val="bg-BG"/>
        </w:rPr>
        <w:t xml:space="preserve">езконтролното производство, търговия и потребление на химикали представлява сериозен риск за околната среда и човешкото здраве, което застрашава качеството на живот на хората и чрез необратимото увреждане на </w:t>
      </w:r>
      <w:r w:rsidR="00B75F88" w:rsidRPr="00DD02E8">
        <w:rPr>
          <w:rFonts w:ascii="Times New Roman" w:hAnsi="Times New Roman" w:cs="Times New Roman"/>
          <w:lang w:val="bg-BG"/>
        </w:rPr>
        <w:t xml:space="preserve">екосистемите и </w:t>
      </w:r>
      <w:r w:rsidRPr="00DD02E8">
        <w:rPr>
          <w:rFonts w:ascii="Times New Roman" w:hAnsi="Times New Roman" w:cs="Times New Roman"/>
          <w:lang w:val="bg-BG"/>
        </w:rPr>
        <w:t>околната среда не позволява постигането на устойчиво развитие. Най-голяма опасност за човешкото здраве представляват дълготрайното хронично въздействие на вещества с доказани вредни свойства, като канцерогенност, мутагенност и токсичност за възпроизводството, по време на тяхното производство и употреба и сериозните здравни рискове, свързани с авариите с химични вещества. По отношение на околната среда, използването на опасни за околната среда, устойчиви или биоакумулиращи вещества допринася за замърсяването и/или увреждането на всички нейни компоненти.</w:t>
      </w:r>
    </w:p>
    <w:p w14:paraId="5458BF80" w14:textId="1D678471" w:rsidR="00E80523" w:rsidRDefault="00E80523" w:rsidP="00E80523">
      <w:pPr>
        <w:jc w:val="both"/>
        <w:rPr>
          <w:rFonts w:ascii="Times New Roman" w:hAnsi="Times New Roman" w:cs="Times New Roman"/>
          <w:lang w:val="bg-BG"/>
        </w:rPr>
      </w:pPr>
      <w:r w:rsidRPr="00DD02E8">
        <w:rPr>
          <w:rFonts w:ascii="Times New Roman" w:hAnsi="Times New Roman" w:cs="Times New Roman"/>
          <w:lang w:val="bg-BG"/>
        </w:rPr>
        <w:t xml:space="preserve">Въвеждането на ефективно управление на химикалите по време на целия им жизнен цикъл, включващ детайлно познание на техните здравни и екологични характеристики, планирането и прилагането на ефективни превантивни мерки по отношение на човешкото здраве и околната среда по време на тяхното производство, търговия и употреба, предприемането на мерки за предотвратяване на големи аварии и ограничаване на техните последствия са от съществено значение за опазване и подобряване на качеството на живот. </w:t>
      </w:r>
    </w:p>
    <w:p w14:paraId="24DA0ADB" w14:textId="316F581D" w:rsidR="002D0A91" w:rsidRPr="00DD02E8" w:rsidRDefault="002D0A91" w:rsidP="00DA1AAA">
      <w:pPr>
        <w:autoSpaceDE w:val="0"/>
        <w:autoSpaceDN w:val="0"/>
        <w:adjustRightInd w:val="0"/>
        <w:spacing w:before="120" w:after="120" w:line="264" w:lineRule="auto"/>
        <w:jc w:val="both"/>
        <w:rPr>
          <w:rFonts w:ascii="Times New Roman" w:eastAsia="Calibri" w:hAnsi="Times New Roman" w:cs="Times New Roman"/>
          <w:lang w:val="bg-BG"/>
        </w:rPr>
      </w:pPr>
      <w:r w:rsidRPr="00DD02E8">
        <w:rPr>
          <w:rFonts w:ascii="Times New Roman" w:hAnsi="Times New Roman" w:cs="Times New Roman"/>
          <w:lang w:val="bg-BG"/>
        </w:rPr>
        <w:t xml:space="preserve">Управлението на химикалите и предотвратяването на големи аварии са част от превантивните инструменти в политиката за опазването и ползването на компонентите на околната среда, оперативна цел: </w:t>
      </w:r>
      <w:r w:rsidRPr="00DD02E8">
        <w:rPr>
          <w:rFonts w:ascii="Times New Roman" w:eastAsia="Calibri" w:hAnsi="Times New Roman" w:cs="Times New Roman"/>
          <w:lang w:val="bg-BG"/>
        </w:rPr>
        <w:t>Предотвратяване на замърсяването и опазване на околната среда и човешкото здраве чрез прилагане на превантивни инструменти</w:t>
      </w:r>
      <w:r w:rsidRPr="00DD02E8">
        <w:rPr>
          <w:rStyle w:val="FootnoteReference"/>
          <w:rFonts w:ascii="Times New Roman" w:eastAsia="Calibri" w:hAnsi="Times New Roman" w:cs="Times New Roman"/>
          <w:lang w:val="bg-BG"/>
        </w:rPr>
        <w:footnoteReference w:id="1"/>
      </w:r>
      <w:r w:rsidRPr="00DD02E8">
        <w:rPr>
          <w:rFonts w:ascii="Times New Roman" w:eastAsia="Calibri" w:hAnsi="Times New Roman" w:cs="Times New Roman"/>
          <w:lang w:val="bg-BG"/>
        </w:rPr>
        <w:t>.</w:t>
      </w:r>
    </w:p>
    <w:p w14:paraId="553E6C43" w14:textId="5CD0EDBF" w:rsidR="002D0A91" w:rsidRPr="00DD02E8" w:rsidRDefault="002D0A91" w:rsidP="00DA1AAA">
      <w:pPr>
        <w:spacing w:before="120" w:after="120" w:line="264" w:lineRule="auto"/>
        <w:jc w:val="both"/>
        <w:rPr>
          <w:rFonts w:ascii="Times New Roman" w:eastAsia="Times New Roman" w:hAnsi="Times New Roman" w:cs="Times New Roman"/>
          <w:lang w:val="bg-BG"/>
        </w:rPr>
      </w:pPr>
      <w:r w:rsidRPr="00DD02E8">
        <w:rPr>
          <w:rFonts w:ascii="Times New Roman" w:eastAsia="Times New Roman" w:hAnsi="Times New Roman" w:cs="Times New Roman"/>
          <w:b/>
          <w:bCs/>
          <w:lang w:val="bg-BG"/>
        </w:rPr>
        <w:t>Управлението на химикали</w:t>
      </w:r>
      <w:r w:rsidRPr="00DD02E8">
        <w:rPr>
          <w:rFonts w:ascii="Times New Roman" w:eastAsia="Times New Roman" w:hAnsi="Times New Roman" w:cs="Times New Roman"/>
          <w:lang w:val="bg-BG"/>
        </w:rPr>
        <w:t xml:space="preserve"> е превантивен инструмент за управление на рисковете от химикали при тяхното производство, употреба, съхранение, пускане на пазара, внос и износ в самостоятелен вид, в смеси и в изделия; а п</w:t>
      </w:r>
      <w:r w:rsidRPr="00DD02E8">
        <w:rPr>
          <w:rFonts w:ascii="Times New Roman" w:eastAsia="Times New Roman" w:hAnsi="Times New Roman" w:cs="Times New Roman"/>
          <w:b/>
          <w:bCs/>
          <w:lang w:val="bg-BG"/>
        </w:rPr>
        <w:t>редотвратяване на големи аварии</w:t>
      </w:r>
      <w:r w:rsidRPr="00DD02E8">
        <w:rPr>
          <w:rFonts w:ascii="Times New Roman" w:eastAsia="Times New Roman" w:hAnsi="Times New Roman" w:cs="Times New Roman"/>
          <w:lang w:val="bg-BG"/>
        </w:rPr>
        <w:t xml:space="preserve"> – превантивен инструмент за намаляването на вероятността и последствията от големи аварии при работа с определени опасни вещества. </w:t>
      </w:r>
    </w:p>
    <w:p w14:paraId="177D4338" w14:textId="52006321" w:rsidR="00792EB0" w:rsidRPr="00863834" w:rsidRDefault="00DA1AAA" w:rsidP="007B207D">
      <w:pPr>
        <w:spacing w:before="120" w:after="120" w:line="264" w:lineRule="auto"/>
        <w:jc w:val="both"/>
        <w:rPr>
          <w:rFonts w:ascii="Times New Roman" w:eastAsia="Times New Roman" w:hAnsi="Times New Roman" w:cs="Times New Roman"/>
          <w:lang w:val="bg-BG"/>
        </w:rPr>
      </w:pPr>
      <w:r w:rsidRPr="00962E30">
        <w:rPr>
          <w:rFonts w:ascii="Times New Roman" w:eastAsia="Times New Roman" w:hAnsi="Times New Roman" w:cs="Times New Roman"/>
          <w:lang w:val="bg-BG"/>
        </w:rPr>
        <w:t xml:space="preserve">Докладът за околната среда в Европа </w:t>
      </w:r>
      <w:r w:rsidR="007B207D" w:rsidRPr="00962E30">
        <w:rPr>
          <w:rFonts w:ascii="Times New Roman" w:eastAsia="Times New Roman" w:hAnsi="Times New Roman" w:cs="Times New Roman"/>
          <w:lang w:val="bg-BG"/>
        </w:rPr>
        <w:t>–</w:t>
      </w:r>
      <w:r w:rsidRPr="00962E30">
        <w:rPr>
          <w:rFonts w:ascii="Times New Roman" w:eastAsia="Times New Roman" w:hAnsi="Times New Roman" w:cs="Times New Roman"/>
          <w:lang w:val="bg-BG"/>
        </w:rPr>
        <w:t xml:space="preserve"> </w:t>
      </w:r>
      <w:r w:rsidR="007B207D" w:rsidRPr="00962E30">
        <w:rPr>
          <w:rFonts w:ascii="Times New Roman" w:eastAsia="Times New Roman" w:hAnsi="Times New Roman" w:cs="Times New Roman"/>
          <w:lang w:val="bg-BG"/>
        </w:rPr>
        <w:t xml:space="preserve">състояние и </w:t>
      </w:r>
      <w:r w:rsidR="00490903" w:rsidRPr="00962E30">
        <w:rPr>
          <w:rFonts w:ascii="Times New Roman" w:eastAsia="Times New Roman" w:hAnsi="Times New Roman" w:cs="Times New Roman"/>
          <w:lang w:val="bg-BG"/>
        </w:rPr>
        <w:t>перспективи</w:t>
      </w:r>
      <w:r w:rsidR="007B207D" w:rsidRPr="00962E30">
        <w:rPr>
          <w:rStyle w:val="FootnoteReference"/>
          <w:rFonts w:ascii="Times New Roman" w:eastAsia="Times New Roman" w:hAnsi="Times New Roman" w:cs="Times New Roman"/>
          <w:lang w:val="bg-BG"/>
        </w:rPr>
        <w:footnoteReference w:id="2"/>
      </w:r>
      <w:r w:rsidR="007B207D" w:rsidRPr="00962E30">
        <w:rPr>
          <w:rFonts w:ascii="Times New Roman" w:eastAsia="Times New Roman" w:hAnsi="Times New Roman" w:cs="Times New Roman"/>
          <w:lang w:val="bg-BG"/>
        </w:rPr>
        <w:t xml:space="preserve"> (2020 г.), </w:t>
      </w:r>
      <w:r w:rsidR="007654B0" w:rsidRPr="00962E30">
        <w:rPr>
          <w:rFonts w:ascii="Times New Roman" w:eastAsia="Times New Roman" w:hAnsi="Times New Roman" w:cs="Times New Roman"/>
          <w:lang w:val="bg-BG"/>
        </w:rPr>
        <w:t xml:space="preserve">разглежда </w:t>
      </w:r>
      <w:r w:rsidR="007B207D" w:rsidRPr="00962E30">
        <w:rPr>
          <w:rFonts w:ascii="Times New Roman" w:eastAsia="Times New Roman" w:hAnsi="Times New Roman" w:cs="Times New Roman"/>
          <w:lang w:val="bg-BG"/>
        </w:rPr>
        <w:t>химичното замърсяване като отделна глава</w:t>
      </w:r>
      <w:r w:rsidR="007654B0" w:rsidRPr="00962E30">
        <w:rPr>
          <w:rFonts w:ascii="Times New Roman" w:eastAsia="Times New Roman" w:hAnsi="Times New Roman" w:cs="Times New Roman"/>
          <w:lang w:val="bg-BG"/>
        </w:rPr>
        <w:t>, като се прави преглед на химичното замърсяване на компонентите на околната среда, както и управлението на химичните вещества и смеси</w:t>
      </w:r>
      <w:r w:rsidR="007B207D" w:rsidRPr="00962E30">
        <w:rPr>
          <w:rFonts w:ascii="Times New Roman" w:eastAsia="Times New Roman" w:hAnsi="Times New Roman" w:cs="Times New Roman"/>
          <w:lang w:val="bg-BG"/>
        </w:rPr>
        <w:t>. В този контекст в настоящия анализ р</w:t>
      </w:r>
      <w:r w:rsidR="00792EB0" w:rsidRPr="00962E30">
        <w:rPr>
          <w:rFonts w:ascii="Times New Roman" w:eastAsia="Times New Roman" w:hAnsi="Times New Roman" w:cs="Times New Roman"/>
          <w:lang w:val="bg-BG"/>
        </w:rPr>
        <w:t>азличните данни за химично замърсяване са разгледани в анализа на</w:t>
      </w:r>
      <w:r w:rsidR="00792EB0" w:rsidRPr="007B207D">
        <w:rPr>
          <w:rFonts w:ascii="Times New Roman" w:eastAsia="Times New Roman" w:hAnsi="Times New Roman" w:cs="Times New Roman"/>
          <w:lang w:val="ru-RU"/>
        </w:rPr>
        <w:t xml:space="preserve"> </w:t>
      </w:r>
      <w:r w:rsidR="00792EB0" w:rsidRPr="00863834">
        <w:rPr>
          <w:rFonts w:ascii="Times New Roman" w:eastAsia="Times New Roman" w:hAnsi="Times New Roman" w:cs="Times New Roman"/>
          <w:lang w:val="bg-BG"/>
        </w:rPr>
        <w:t>компонентите на околната среда (въздух, води, почви)</w:t>
      </w:r>
      <w:r w:rsidR="007B207D" w:rsidRPr="00863834">
        <w:rPr>
          <w:rFonts w:ascii="Times New Roman" w:eastAsia="Times New Roman" w:hAnsi="Times New Roman" w:cs="Times New Roman"/>
          <w:lang w:val="bg-BG"/>
        </w:rPr>
        <w:t xml:space="preserve">. В тази част анализът се спира върху превантивния инструмент и свързаните с това политики. </w:t>
      </w:r>
    </w:p>
    <w:p w14:paraId="56DF34A7" w14:textId="21E8DD08" w:rsidR="00962E30" w:rsidRPr="00962E30" w:rsidRDefault="00962E30" w:rsidP="007B207D">
      <w:pPr>
        <w:spacing w:before="120" w:after="120" w:line="264" w:lineRule="auto"/>
        <w:jc w:val="both"/>
        <w:rPr>
          <w:rFonts w:ascii="Times New Roman" w:eastAsia="Times New Roman" w:hAnsi="Times New Roman" w:cs="Times New Roman"/>
          <w:lang w:val="bg-BG"/>
        </w:rPr>
      </w:pPr>
      <w:r w:rsidRPr="00962E30">
        <w:rPr>
          <w:rFonts w:ascii="Times New Roman" w:eastAsia="Times New Roman" w:hAnsi="Times New Roman" w:cs="Times New Roman"/>
          <w:lang w:val="bg-BG"/>
        </w:rPr>
        <w:lastRenderedPageBreak/>
        <w:t>Тъй като употребата и управлението на химикали не е компонент на околната среда, а превантивен инструмент, то той не подлежи на класически анализ по рамката движещи сили, натиск,</w:t>
      </w:r>
      <w:r w:rsidR="00490903">
        <w:rPr>
          <w:rFonts w:ascii="Times New Roman" w:eastAsia="Times New Roman" w:hAnsi="Times New Roman" w:cs="Times New Roman"/>
          <w:lang w:val="bg-BG"/>
        </w:rPr>
        <w:t xml:space="preserve"> състояние, </w:t>
      </w:r>
      <w:r w:rsidRPr="00962E30">
        <w:rPr>
          <w:rFonts w:ascii="Times New Roman" w:eastAsia="Times New Roman" w:hAnsi="Times New Roman" w:cs="Times New Roman"/>
          <w:lang w:val="bg-BG"/>
        </w:rPr>
        <w:t>въздействие</w:t>
      </w:r>
      <w:r w:rsidR="00490903">
        <w:rPr>
          <w:rFonts w:ascii="Times New Roman" w:eastAsia="Times New Roman" w:hAnsi="Times New Roman" w:cs="Times New Roman"/>
          <w:lang w:val="bg-BG"/>
        </w:rPr>
        <w:t>, отговор</w:t>
      </w:r>
      <w:r w:rsidRPr="00962E30">
        <w:rPr>
          <w:rFonts w:ascii="Times New Roman" w:eastAsia="Times New Roman" w:hAnsi="Times New Roman" w:cs="Times New Roman"/>
          <w:lang w:val="bg-BG"/>
        </w:rPr>
        <w:t xml:space="preserve">. В анализа е направен преглед на политиката в областта на химикалите, тенденциите и предизвикателствата, включително оценка на състоянието на база на показателите от контролната дейност, перспективи и препоръки.  </w:t>
      </w:r>
    </w:p>
    <w:p w14:paraId="1480A0A1" w14:textId="177692CB" w:rsidR="001D69E7" w:rsidRPr="00BD246F" w:rsidRDefault="001D69E7" w:rsidP="00DD02E8">
      <w:pPr>
        <w:pStyle w:val="Heading2"/>
        <w:jc w:val="both"/>
        <w:rPr>
          <w:rFonts w:eastAsia="Times New Roman"/>
          <w:lang w:val="bg-BG"/>
        </w:rPr>
      </w:pPr>
      <w:bookmarkStart w:id="2" w:name="_Toc74125047"/>
      <w:r w:rsidRPr="00BD246F">
        <w:rPr>
          <w:rFonts w:eastAsia="Times New Roman"/>
          <w:lang w:val="bg-BG"/>
        </w:rPr>
        <w:t xml:space="preserve">Контекст и цели на политиките в областта на </w:t>
      </w:r>
      <w:r w:rsidR="004F6C38">
        <w:rPr>
          <w:rFonts w:eastAsia="Times New Roman"/>
          <w:lang w:val="bg-BG"/>
        </w:rPr>
        <w:t>хими</w:t>
      </w:r>
      <w:r w:rsidR="00EC58AC">
        <w:rPr>
          <w:rFonts w:eastAsia="Times New Roman"/>
          <w:lang w:val="bg-BG"/>
        </w:rPr>
        <w:t>калите</w:t>
      </w:r>
      <w:r w:rsidR="00BC26E7" w:rsidRPr="00BD246F">
        <w:rPr>
          <w:rFonts w:eastAsia="Times New Roman"/>
          <w:lang w:val="bg-BG"/>
        </w:rPr>
        <w:t>, международен, европейски и национален контекст</w:t>
      </w:r>
      <w:bookmarkEnd w:id="2"/>
    </w:p>
    <w:p w14:paraId="0DA88CA2" w14:textId="77777777" w:rsidR="00F07EBB" w:rsidRPr="00F07EBB" w:rsidRDefault="00F07EBB" w:rsidP="00F07EBB">
      <w:pPr>
        <w:jc w:val="both"/>
        <w:rPr>
          <w:rFonts w:ascii="Times New Roman" w:hAnsi="Times New Roman" w:cs="Times New Roman"/>
          <w:lang w:val="bg-BG"/>
        </w:rPr>
      </w:pPr>
      <w:r w:rsidRPr="00F07EBB">
        <w:rPr>
          <w:rFonts w:ascii="Times New Roman" w:hAnsi="Times New Roman" w:cs="Times New Roman"/>
          <w:lang w:val="bg-BG"/>
        </w:rPr>
        <w:t>Международен контекст</w:t>
      </w:r>
    </w:p>
    <w:p w14:paraId="69C429C9" w14:textId="77C7FE8E" w:rsidR="00DE1B1C" w:rsidRPr="00F07EBB" w:rsidRDefault="00F07EBB" w:rsidP="00F07EBB">
      <w:pPr>
        <w:spacing w:before="120" w:after="120" w:line="264" w:lineRule="auto"/>
        <w:jc w:val="both"/>
        <w:rPr>
          <w:rFonts w:ascii="Times New Roman" w:hAnsi="Times New Roman" w:cs="Times New Roman"/>
          <w:lang w:val="bg-BG"/>
        </w:rPr>
      </w:pPr>
      <w:r w:rsidRPr="00F07EBB">
        <w:rPr>
          <w:rFonts w:ascii="Times New Roman" w:hAnsi="Times New Roman" w:cs="Times New Roman"/>
          <w:lang w:val="bg-BG"/>
        </w:rPr>
        <w:t xml:space="preserve">В областта на химикалите, България е подписала </w:t>
      </w:r>
      <w:r w:rsidR="00DE1B1C" w:rsidRPr="002C4A89">
        <w:rPr>
          <w:rFonts w:ascii="Times New Roman" w:hAnsi="Times New Roman" w:cs="Times New Roman"/>
          <w:b/>
          <w:bCs/>
          <w:lang w:val="bg-BG"/>
        </w:rPr>
        <w:t>Конвенция Минамата</w:t>
      </w:r>
      <w:r w:rsidRPr="00F07EBB">
        <w:rPr>
          <w:rStyle w:val="FootnoteReference"/>
          <w:rFonts w:ascii="Times New Roman" w:hAnsi="Times New Roman" w:cs="Times New Roman"/>
          <w:lang w:val="bg-BG"/>
        </w:rPr>
        <w:footnoteReference w:id="3"/>
      </w:r>
      <w:r w:rsidR="00DE1B1C" w:rsidRPr="00F07EBB">
        <w:rPr>
          <w:rFonts w:ascii="Times New Roman" w:hAnsi="Times New Roman" w:cs="Times New Roman"/>
          <w:lang w:val="bg-BG"/>
        </w:rPr>
        <w:t xml:space="preserve"> относно живака на 10 октомври 2013 г. по време на Дипломатическа конференция на Пълномощните министри, проведена в гр. Кумамото Япония. </w:t>
      </w:r>
      <w:r w:rsidRPr="00F07EBB">
        <w:rPr>
          <w:rFonts w:ascii="Times New Roman" w:hAnsi="Times New Roman" w:cs="Times New Roman"/>
          <w:lang w:val="bg-BG"/>
        </w:rPr>
        <w:t>Основната цел на Конвенция Минамата относно живака е да се осигури опазване на човешкото здраве и околната среда от емисии с антропогенен произход и изпускане на живак и живачни съединения. Живакът представлява проблем от световно значение поради пренасянето му по въздуха на далечни разстояния, устойчивото му присъствие в околната среда след въвеждането му чрез антропогенната дейност, способността за биологично натрупване в екосистеми и съществените му отрицателни въздействия върху човешкото здраве и околната среда. Компетентен орган по прилагането на Конвенцията е Министерство на околната среда и водите, с изключение на мерките, свързани с опазване на човешкото здраве, които са от компетентността на министъра на здравеопазването и мерките по чл. 4 „Продукти с добавен живак“, свързани с ограничаване на пестицидите, които са от компетентността на министъра на земеделието и храните.</w:t>
      </w:r>
    </w:p>
    <w:p w14:paraId="52C4B830" w14:textId="7B9D46C6" w:rsidR="00F07EBB" w:rsidRPr="00F07EBB" w:rsidRDefault="00F07EBB" w:rsidP="00F07EBB">
      <w:pPr>
        <w:pStyle w:val="document-description"/>
        <w:spacing w:before="120" w:beforeAutospacing="0" w:after="120" w:afterAutospacing="0" w:line="264" w:lineRule="auto"/>
        <w:jc w:val="both"/>
        <w:rPr>
          <w:sz w:val="22"/>
          <w:szCs w:val="22"/>
          <w:lang w:val="bg-BG"/>
        </w:rPr>
      </w:pPr>
      <w:r w:rsidRPr="002C4A89">
        <w:rPr>
          <w:b/>
          <w:bCs/>
          <w:sz w:val="22"/>
          <w:szCs w:val="22"/>
          <w:lang w:val="bg-BG"/>
        </w:rPr>
        <w:t>Конвенцията за трансграничните въздействия на промишлените аварии</w:t>
      </w:r>
      <w:r w:rsidRPr="00F07EBB">
        <w:rPr>
          <w:rStyle w:val="FootnoteReference"/>
          <w:sz w:val="22"/>
          <w:szCs w:val="22"/>
          <w:lang w:val="bg-BG"/>
        </w:rPr>
        <w:footnoteReference w:id="4"/>
      </w:r>
      <w:r w:rsidRPr="00F07EBB">
        <w:rPr>
          <w:sz w:val="22"/>
          <w:szCs w:val="22"/>
          <w:lang w:val="bg-BG"/>
        </w:rPr>
        <w:t xml:space="preserve"> е ратифицирана със закон, приет от 37-о Народно събрание на 16.03.1995 г. – ДВ, бр. 28 от 28.03.1995 г. Издадена е от Министерството на околната среда и водите, обн., ДВ, бр. 68 от 4.09.2015 г., в сила от 19.04.2000 г., изм., бр. 75 от 27.09.2016 г., в сила от 19.12.2015 г. Изменение на Приложение I към Конвенцията за трансграничните въздействия на промишлените аварии е прието с Решение 2014/2 на 4.12.2014 г. на Осмата среща на Конференцията на страните, проведена на 3 – 5 декември 2014 г. в Женева. Издадено е от Министерството на околната среда и водите, обн., ДВ, бр. 75 от 27.09.2016 г., в сила от 19.12.2015 г.</w:t>
      </w:r>
    </w:p>
    <w:p w14:paraId="349DED30" w14:textId="0A68A748" w:rsidR="00F07EBB" w:rsidRDefault="00F07EBB" w:rsidP="00F07EBB">
      <w:pPr>
        <w:spacing w:before="120" w:after="120" w:line="264" w:lineRule="auto"/>
        <w:jc w:val="both"/>
        <w:rPr>
          <w:rFonts w:ascii="Times New Roman" w:eastAsia="Times New Roman" w:hAnsi="Times New Roman" w:cs="Times New Roman"/>
          <w:lang w:val="bg-BG" w:eastAsia="en-GB"/>
        </w:rPr>
      </w:pPr>
      <w:r w:rsidRPr="004575FB">
        <w:rPr>
          <w:rFonts w:ascii="Times New Roman" w:eastAsia="Times New Roman" w:hAnsi="Times New Roman" w:cs="Times New Roman"/>
          <w:b/>
          <w:bCs/>
          <w:lang w:val="ru-RU" w:eastAsia="en-GB"/>
        </w:rPr>
        <w:t>Ротердамската конвенция</w:t>
      </w:r>
      <w:r>
        <w:rPr>
          <w:rStyle w:val="FootnoteReference"/>
          <w:rFonts w:ascii="Times New Roman" w:eastAsia="Times New Roman" w:hAnsi="Times New Roman" w:cs="Times New Roman"/>
          <w:lang w:val="en-GB" w:eastAsia="en-GB"/>
        </w:rPr>
        <w:footnoteReference w:id="5"/>
      </w:r>
      <w:r w:rsidRPr="004575FB">
        <w:rPr>
          <w:rFonts w:ascii="Times New Roman" w:eastAsia="Times New Roman" w:hAnsi="Times New Roman" w:cs="Times New Roman"/>
          <w:lang w:val="ru-RU" w:eastAsia="en-GB"/>
        </w:rPr>
        <w:t xml:space="preserve"> относно процедурата по предварително обосновано съгласие при международната търговия с определени опасни химични вещества и пестициди е ратифицирана със закон, Д.В., бр. 55/2000 г., обн. Д.В., бр. 33/2004 г., в сила от 24.02.2004 г.</w:t>
      </w:r>
      <w:r w:rsidRPr="00F07EBB">
        <w:rPr>
          <w:rFonts w:ascii="Times New Roman" w:eastAsia="Times New Roman" w:hAnsi="Times New Roman" w:cs="Times New Roman"/>
          <w:lang w:val="bg-BG" w:eastAsia="en-GB"/>
        </w:rPr>
        <w:t xml:space="preserve"> Текстът на Ротердамската конвенция е приет на 10 септември 1998 г. от Конференция на упълномощените представители в Ротердам, Холандия. Конвенцията влезе в сила на 24 февруари 2004 г.</w:t>
      </w:r>
    </w:p>
    <w:p w14:paraId="79F46C3A" w14:textId="77777777" w:rsidR="00F07EBB" w:rsidRDefault="00F07EBB" w:rsidP="00F07EBB">
      <w:pPr>
        <w:spacing w:before="120" w:after="120" w:line="264" w:lineRule="auto"/>
        <w:jc w:val="both"/>
        <w:rPr>
          <w:rFonts w:ascii="Times New Roman" w:eastAsia="Times New Roman" w:hAnsi="Times New Roman" w:cs="Times New Roman"/>
          <w:lang w:val="bg-BG" w:eastAsia="en-GB"/>
        </w:rPr>
      </w:pPr>
      <w:r w:rsidRPr="00F07EBB">
        <w:rPr>
          <w:rFonts w:ascii="Times New Roman" w:eastAsia="Times New Roman" w:hAnsi="Times New Roman" w:cs="Times New Roman"/>
          <w:lang w:val="bg-BG" w:eastAsia="en-GB"/>
        </w:rPr>
        <w:t xml:space="preserve">Основните цели на Конвенцията са да насърчава споделената отговорност и усилията за сътрудничество между страните в международната търговия с някои опасни химикали с цел защита </w:t>
      </w:r>
      <w:r w:rsidRPr="00F07EBB">
        <w:rPr>
          <w:rFonts w:ascii="Times New Roman" w:eastAsia="Times New Roman" w:hAnsi="Times New Roman" w:cs="Times New Roman"/>
          <w:lang w:val="bg-BG" w:eastAsia="en-GB"/>
        </w:rPr>
        <w:lastRenderedPageBreak/>
        <w:t>на човешкото здраве и околната среда от потенциални вреди; да допринася за екологосъобразното използване на тези опасни химикали, като улесняват обмена на информация за техните характеристики, като осигурява национален процес на вземане на решения относно техния внос и износ и чрез разпространение на тези решения на страните.</w:t>
      </w:r>
    </w:p>
    <w:p w14:paraId="201B490B" w14:textId="77777777" w:rsidR="00F07EBB" w:rsidRDefault="00F07EBB" w:rsidP="00F07EBB">
      <w:pPr>
        <w:spacing w:before="120" w:after="120" w:line="264" w:lineRule="auto"/>
        <w:jc w:val="both"/>
        <w:rPr>
          <w:rFonts w:ascii="Times New Roman" w:eastAsia="Times New Roman" w:hAnsi="Times New Roman" w:cs="Times New Roman"/>
          <w:lang w:val="bg-BG" w:eastAsia="en-GB"/>
        </w:rPr>
      </w:pPr>
      <w:r w:rsidRPr="00F07EBB">
        <w:rPr>
          <w:rFonts w:ascii="Times New Roman" w:eastAsia="Times New Roman" w:hAnsi="Times New Roman" w:cs="Times New Roman"/>
          <w:lang w:val="bg-BG" w:eastAsia="en-GB"/>
        </w:rPr>
        <w:t>Конвенцията създава правно обвързващи задължения за прилагането на процедурата на предварително информирано съгласие (PIC). Той се основава на доброволната PIC процедура, инициирана от UNEP и FAO през 1989 г. и прекратена на 24 февруари 2006 г.</w:t>
      </w:r>
    </w:p>
    <w:p w14:paraId="40BF6A95" w14:textId="28009F26" w:rsidR="00F07EBB" w:rsidRDefault="00F07EBB" w:rsidP="00F07EBB">
      <w:pPr>
        <w:spacing w:before="120" w:after="120" w:line="264" w:lineRule="auto"/>
        <w:jc w:val="both"/>
        <w:rPr>
          <w:rFonts w:ascii="Times New Roman" w:eastAsia="Times New Roman" w:hAnsi="Times New Roman" w:cs="Times New Roman"/>
          <w:lang w:val="bg-BG" w:eastAsia="en-GB"/>
        </w:rPr>
      </w:pPr>
      <w:r w:rsidRPr="00F07EBB">
        <w:rPr>
          <w:rFonts w:ascii="Times New Roman" w:eastAsia="Times New Roman" w:hAnsi="Times New Roman" w:cs="Times New Roman"/>
          <w:lang w:val="bg-BG" w:eastAsia="en-GB"/>
        </w:rPr>
        <w:t>Конвенцията обхваща пестициди и промишлени химикали, които са били забранени или строго ограничени по здравни или екологични причини от страните и които са нотифицирани от страните за включване в PIC процедурата. По една нотификация от два конкретни региона задейства обмислянето на добавяне на химикал към приложение III към Конвенцията. За включване в приложение III на Конвенцията могат да бъдат предлагани и силно опасни пестицидни формулации, които представляват риск при условия на употреба в развиващите се страни или страни с икономики в преход.</w:t>
      </w:r>
    </w:p>
    <w:p w14:paraId="79FEBB6B" w14:textId="77777777" w:rsidR="00DE1B1C" w:rsidRPr="002C4A89" w:rsidRDefault="00DE1B1C" w:rsidP="002C4A89">
      <w:pPr>
        <w:spacing w:before="120" w:after="120" w:line="264" w:lineRule="auto"/>
        <w:jc w:val="both"/>
        <w:rPr>
          <w:rFonts w:ascii="Times New Roman" w:eastAsiaTheme="majorEastAsia" w:hAnsi="Times New Roman" w:cs="Times New Roman"/>
          <w:b/>
          <w:bCs/>
          <w:lang w:val="bg-BG"/>
        </w:rPr>
      </w:pPr>
      <w:r w:rsidRPr="002C4A89">
        <w:rPr>
          <w:rFonts w:ascii="Times New Roman" w:hAnsi="Times New Roman" w:cs="Times New Roman"/>
          <w:b/>
          <w:bCs/>
          <w:lang w:val="bg-BG"/>
        </w:rPr>
        <w:t>Стокхолмска конвенция за устойчивите органични замърсители (УОЗ)</w:t>
      </w:r>
    </w:p>
    <w:p w14:paraId="340E9AC4" w14:textId="77777777" w:rsidR="002C4A89" w:rsidRPr="002C4A89" w:rsidRDefault="002C4A89" w:rsidP="002C4A89">
      <w:pPr>
        <w:spacing w:before="120" w:after="120" w:line="264" w:lineRule="auto"/>
        <w:jc w:val="both"/>
        <w:rPr>
          <w:rFonts w:ascii="Times New Roman" w:eastAsia="Times New Roman" w:hAnsi="Times New Roman" w:cs="Times New Roman"/>
          <w:lang w:val="bg-BG" w:eastAsia="en-GB"/>
        </w:rPr>
      </w:pPr>
      <w:r w:rsidRPr="002C4A89">
        <w:rPr>
          <w:rFonts w:ascii="Times New Roman" w:eastAsia="Times New Roman" w:hAnsi="Times New Roman" w:cs="Times New Roman"/>
          <w:lang w:val="bg-BG" w:eastAsia="en-GB"/>
        </w:rPr>
        <w:t>През последните десетилетия употребата на химични вещества и значението на химическата индустрия значително се увеличават в световен мащаб. В резултат все повече и повече токсични вещества, включително и така наречените устойчиви органични замърсители (УОЗ) се изпускат в околната среда, които  представляват потенциална заплаха за здравето на хората и околната среда по цялата планета.</w:t>
      </w:r>
    </w:p>
    <w:p w14:paraId="2F542799" w14:textId="77777777" w:rsidR="002C4A89" w:rsidRPr="002C4A89" w:rsidRDefault="002C4A89" w:rsidP="002C4A89">
      <w:pPr>
        <w:spacing w:before="120" w:after="120" w:line="264" w:lineRule="auto"/>
        <w:jc w:val="both"/>
        <w:rPr>
          <w:rFonts w:ascii="Times New Roman" w:eastAsia="Times New Roman" w:hAnsi="Times New Roman" w:cs="Times New Roman"/>
          <w:lang w:val="bg-BG" w:eastAsia="en-GB"/>
        </w:rPr>
      </w:pPr>
      <w:r w:rsidRPr="002C4A89">
        <w:rPr>
          <w:rFonts w:ascii="Times New Roman" w:eastAsia="Times New Roman" w:hAnsi="Times New Roman" w:cs="Times New Roman"/>
          <w:lang w:val="bg-BG" w:eastAsia="en-GB"/>
        </w:rPr>
        <w:t>УОЗ представляват органични вещества, които притежават токсични свойства; запазват се продължително време в околната среда; натрупват се в биосферата; имат способност за трансграничен атмосферен пренос на далечни разстояния и отлагане; и с голяма вероятност могат да предизвикват значителни отрицателни последици за човешкото здраве или околната среда близо и далече от техните източници.</w:t>
      </w:r>
    </w:p>
    <w:p w14:paraId="4A7FE81E" w14:textId="35C3D2DD" w:rsidR="002C4A89" w:rsidRPr="002C4A89" w:rsidRDefault="002C4A89" w:rsidP="002C4A89">
      <w:pPr>
        <w:spacing w:before="120" w:after="120" w:line="264" w:lineRule="auto"/>
        <w:jc w:val="both"/>
        <w:rPr>
          <w:rFonts w:ascii="Times New Roman" w:eastAsia="Times New Roman" w:hAnsi="Times New Roman" w:cs="Times New Roman"/>
          <w:lang w:val="bg-BG" w:eastAsia="en-GB"/>
        </w:rPr>
      </w:pPr>
      <w:r w:rsidRPr="002C4A89">
        <w:rPr>
          <w:rFonts w:ascii="Times New Roman" w:eastAsia="Times New Roman" w:hAnsi="Times New Roman" w:cs="Times New Roman"/>
          <w:lang w:val="bg-BG" w:eastAsia="en-GB"/>
        </w:rPr>
        <w:t>Тази опасна комбинация от токсичност, устойчивост, подвижност и способност за пренос на далечни разстояния означава, че УОЗ буквално са разпространени по цялото земно кълбо, дори в екосистемите и местните общества в планинските региони, Арктика, Антарктида и отдалечените Тихоокеански острови. Способността им да се натрупват в мас</w:t>
      </w:r>
      <w:r>
        <w:rPr>
          <w:rFonts w:ascii="Times New Roman" w:eastAsia="Times New Roman" w:hAnsi="Times New Roman" w:cs="Times New Roman"/>
          <w:lang w:val="bg-BG" w:eastAsia="en-GB"/>
        </w:rPr>
        <w:t>т</w:t>
      </w:r>
      <w:r w:rsidRPr="002C4A89">
        <w:rPr>
          <w:rFonts w:ascii="Times New Roman" w:eastAsia="Times New Roman" w:hAnsi="Times New Roman" w:cs="Times New Roman"/>
          <w:lang w:val="bg-BG" w:eastAsia="en-GB"/>
        </w:rPr>
        <w:t>ните тъкани на живите организми, известна като “биоакумулиране” означава, че УОЗ постепенно се биоконцентрират чрез хранителната верига в рибите, хищните птици и бозайници и в крайна сметка и в хорат</w:t>
      </w:r>
      <w:r>
        <w:rPr>
          <w:rFonts w:ascii="Times New Roman" w:eastAsia="Times New Roman" w:hAnsi="Times New Roman" w:cs="Times New Roman"/>
          <w:lang w:val="bg-BG" w:eastAsia="en-GB"/>
        </w:rPr>
        <w:t>а.</w:t>
      </w:r>
    </w:p>
    <w:p w14:paraId="2119AB45" w14:textId="77777777" w:rsidR="002C4A89" w:rsidRPr="002C4A89" w:rsidRDefault="002C4A89" w:rsidP="002C4A89">
      <w:pPr>
        <w:spacing w:before="120" w:after="120" w:line="264" w:lineRule="auto"/>
        <w:jc w:val="both"/>
        <w:rPr>
          <w:rFonts w:ascii="Times New Roman" w:eastAsia="Times New Roman" w:hAnsi="Times New Roman" w:cs="Times New Roman"/>
          <w:lang w:val="bg-BG" w:eastAsia="en-GB"/>
        </w:rPr>
      </w:pPr>
      <w:r w:rsidRPr="002C4A89">
        <w:rPr>
          <w:rFonts w:ascii="Times New Roman" w:eastAsia="Times New Roman" w:hAnsi="Times New Roman" w:cs="Times New Roman"/>
          <w:lang w:val="bg-BG" w:eastAsia="en-GB"/>
        </w:rPr>
        <w:t>Съзнавайки загрижеността за здравето на хората и околната среда и необходимостта от предприемане на глобални действия срещу въздействията на УОЗ, в гр. Стокхолм, Швеция на Конференция на пълномощниците на 22 май 2001 г. е приета Стокхолмската конвенция за устойчивите органични замърсители и на официална церемония на 23 май 2001 г. е подписана от 92 държави и от Европейската общност (ЕО) като регионална организация. Конвенцията остава отворена за подписване от 24 май 2001 г. до 22 май 2002 г. , до когато е подписана от 151 държави.</w:t>
      </w:r>
    </w:p>
    <w:p w14:paraId="70CC4ABC" w14:textId="77777777" w:rsidR="002C4A89" w:rsidRPr="002C4A89" w:rsidRDefault="002C4A89" w:rsidP="002C4A89">
      <w:pPr>
        <w:spacing w:before="120" w:after="120" w:line="264" w:lineRule="auto"/>
        <w:jc w:val="both"/>
        <w:rPr>
          <w:rFonts w:ascii="Times New Roman" w:eastAsia="Times New Roman" w:hAnsi="Times New Roman" w:cs="Times New Roman"/>
          <w:lang w:val="bg-BG" w:eastAsia="en-GB"/>
        </w:rPr>
      </w:pPr>
      <w:r w:rsidRPr="002C4A89">
        <w:rPr>
          <w:rFonts w:ascii="Times New Roman" w:eastAsia="Times New Roman" w:hAnsi="Times New Roman" w:cs="Times New Roman"/>
          <w:lang w:val="bg-BG" w:eastAsia="en-GB"/>
        </w:rPr>
        <w:lastRenderedPageBreak/>
        <w:t>Конвенцията влиза в сила на 17 май 2004 г. , деветдесет (90) дни след депозиране на 50-я документ за ратифициране, приемане, одобряване или присъединяване.</w:t>
      </w:r>
    </w:p>
    <w:p w14:paraId="45026FED" w14:textId="77777777" w:rsidR="002C4A89" w:rsidRDefault="002C4A89" w:rsidP="002C4A89">
      <w:pPr>
        <w:spacing w:before="120" w:after="120" w:line="264" w:lineRule="auto"/>
        <w:jc w:val="both"/>
        <w:rPr>
          <w:rFonts w:ascii="Times New Roman" w:eastAsia="Times New Roman" w:hAnsi="Times New Roman" w:cs="Times New Roman"/>
          <w:lang w:val="bg-BG" w:eastAsia="en-GB"/>
        </w:rPr>
      </w:pPr>
      <w:r w:rsidRPr="002C4A89">
        <w:rPr>
          <w:rFonts w:ascii="Times New Roman" w:eastAsia="Times New Roman" w:hAnsi="Times New Roman" w:cs="Times New Roman"/>
          <w:lang w:val="bg-BG" w:eastAsia="en-GB"/>
        </w:rPr>
        <w:t>Стокхолмската конвенция е подписана от България на 23 май 2001 г. и е ратифицирана със закон от Народното събрание на 30 септември 2004 г. (обн. в ДВ № 89/12.10.2004 г.). България е Страна по Конвенцията от 20 март 2005 г. Към 1-ви януари 2011 г., общо 172 държави, включително 25 Държави - членки на ЕС, са ратифицирали Конвенцията.</w:t>
      </w:r>
    </w:p>
    <w:p w14:paraId="685BF1E0" w14:textId="098CABC5" w:rsidR="002C4A89" w:rsidRPr="002C4A89" w:rsidRDefault="002C4A89" w:rsidP="002C4A89">
      <w:pPr>
        <w:spacing w:before="120" w:after="120" w:line="264" w:lineRule="auto"/>
        <w:jc w:val="both"/>
        <w:rPr>
          <w:rFonts w:ascii="Times New Roman" w:eastAsia="Times New Roman" w:hAnsi="Times New Roman" w:cs="Times New Roman"/>
          <w:lang w:val="bg-BG" w:eastAsia="en-GB"/>
        </w:rPr>
      </w:pPr>
      <w:r w:rsidRPr="002C4A89">
        <w:rPr>
          <w:rFonts w:ascii="Times New Roman" w:eastAsia="Times New Roman" w:hAnsi="Times New Roman" w:cs="Times New Roman"/>
          <w:i/>
          <w:iCs/>
          <w:lang w:val="bg-BG" w:eastAsia="en-GB"/>
        </w:rPr>
        <w:t>Стратегическата цел на Стокхолмската конвенция е опазване здравето на хората и околната среда от УОЗ.</w:t>
      </w:r>
    </w:p>
    <w:p w14:paraId="523FC6DD" w14:textId="60F4AFD9" w:rsidR="002C4A89" w:rsidRPr="002C4A89" w:rsidRDefault="002C4A89" w:rsidP="002C4A89">
      <w:pPr>
        <w:spacing w:before="120" w:after="120" w:line="264" w:lineRule="auto"/>
        <w:jc w:val="both"/>
        <w:rPr>
          <w:rFonts w:ascii="Times New Roman" w:eastAsia="Times New Roman" w:hAnsi="Times New Roman" w:cs="Times New Roman"/>
          <w:lang w:val="bg-BG" w:eastAsia="en-GB"/>
        </w:rPr>
      </w:pPr>
      <w:r w:rsidRPr="002C4A89">
        <w:rPr>
          <w:rFonts w:ascii="Times New Roman" w:eastAsia="Times New Roman" w:hAnsi="Times New Roman" w:cs="Times New Roman"/>
          <w:lang w:val="bg-BG" w:eastAsia="en-GB"/>
        </w:rPr>
        <w:t>Стокхолмската конвенция си поставя 5 цели от първостепенно значение:</w:t>
      </w:r>
      <w:r>
        <w:rPr>
          <w:rFonts w:ascii="Times New Roman" w:eastAsia="Times New Roman" w:hAnsi="Times New Roman" w:cs="Times New Roman"/>
          <w:lang w:val="bg-BG" w:eastAsia="en-GB"/>
        </w:rPr>
        <w:t xml:space="preserve"> </w:t>
      </w:r>
      <w:r w:rsidRPr="002C4A89">
        <w:rPr>
          <w:rFonts w:ascii="Times New Roman" w:eastAsia="Times New Roman" w:hAnsi="Times New Roman" w:cs="Times New Roman"/>
          <w:lang w:val="bg-BG" w:eastAsia="en-GB"/>
        </w:rPr>
        <w:t>Цел № 1: Елиминиране на опасните УОЗ, започвайки с 22-те УОЗ, включени в Конвенцията;</w:t>
      </w:r>
      <w:r>
        <w:rPr>
          <w:rFonts w:ascii="Times New Roman" w:eastAsia="Times New Roman" w:hAnsi="Times New Roman" w:cs="Times New Roman"/>
          <w:lang w:val="bg-BG" w:eastAsia="en-GB"/>
        </w:rPr>
        <w:t xml:space="preserve"> </w:t>
      </w:r>
      <w:r w:rsidRPr="002C4A89">
        <w:rPr>
          <w:rFonts w:ascii="Times New Roman" w:eastAsia="Times New Roman" w:hAnsi="Times New Roman" w:cs="Times New Roman"/>
          <w:lang w:val="bg-BG" w:eastAsia="en-GB"/>
        </w:rPr>
        <w:t>Цел № 2: Подпомагане на прехода към употребата на по-безопасни алтернативни вещества;</w:t>
      </w:r>
      <w:r>
        <w:rPr>
          <w:rFonts w:ascii="Times New Roman" w:eastAsia="Times New Roman" w:hAnsi="Times New Roman" w:cs="Times New Roman"/>
          <w:lang w:val="bg-BG" w:eastAsia="en-GB"/>
        </w:rPr>
        <w:t xml:space="preserve"> </w:t>
      </w:r>
      <w:r w:rsidRPr="002C4A89">
        <w:rPr>
          <w:rFonts w:ascii="Times New Roman" w:eastAsia="Times New Roman" w:hAnsi="Times New Roman" w:cs="Times New Roman"/>
          <w:lang w:val="bg-BG" w:eastAsia="en-GB"/>
        </w:rPr>
        <w:t>Цел № 3: Набелязване на допълнителни УОЗ, изискващи предприемането на действия;</w:t>
      </w:r>
      <w:r>
        <w:rPr>
          <w:rFonts w:ascii="Times New Roman" w:eastAsia="Times New Roman" w:hAnsi="Times New Roman" w:cs="Times New Roman"/>
          <w:lang w:val="bg-BG" w:eastAsia="en-GB"/>
        </w:rPr>
        <w:t xml:space="preserve"> </w:t>
      </w:r>
      <w:r w:rsidRPr="002C4A89">
        <w:rPr>
          <w:rFonts w:ascii="Times New Roman" w:eastAsia="Times New Roman" w:hAnsi="Times New Roman" w:cs="Times New Roman"/>
          <w:lang w:val="bg-BG" w:eastAsia="en-GB"/>
        </w:rPr>
        <w:t>Цел № 4: Обезвреждане на натрупаните залежали пестициди и оборудване, съдържащо УОЗ;</w:t>
      </w:r>
      <w:r>
        <w:rPr>
          <w:rFonts w:ascii="Times New Roman" w:eastAsia="Times New Roman" w:hAnsi="Times New Roman" w:cs="Times New Roman"/>
          <w:lang w:val="bg-BG" w:eastAsia="en-GB"/>
        </w:rPr>
        <w:t xml:space="preserve"> </w:t>
      </w:r>
      <w:r w:rsidRPr="002C4A89">
        <w:rPr>
          <w:rFonts w:ascii="Times New Roman" w:eastAsia="Times New Roman" w:hAnsi="Times New Roman" w:cs="Times New Roman"/>
          <w:lang w:val="bg-BG" w:eastAsia="en-GB"/>
        </w:rPr>
        <w:t>Цел № 5: Обединяване усилията за постигане на бъдеще без УОЗ.</w:t>
      </w:r>
    </w:p>
    <w:p w14:paraId="3C68E917" w14:textId="7D20ACB7" w:rsidR="00DE1B1C" w:rsidRPr="002C4A89" w:rsidRDefault="002C4A89" w:rsidP="002C4A89">
      <w:pPr>
        <w:spacing w:before="120" w:after="120" w:line="264" w:lineRule="auto"/>
        <w:jc w:val="both"/>
        <w:rPr>
          <w:rFonts w:ascii="Times New Roman" w:hAnsi="Times New Roman" w:cs="Times New Roman"/>
          <w:lang w:val="bg-BG"/>
        </w:rPr>
      </w:pPr>
      <w:r w:rsidRPr="002C4A89">
        <w:rPr>
          <w:rFonts w:ascii="Times New Roman" w:hAnsi="Times New Roman" w:cs="Times New Roman"/>
          <w:lang w:val="bg-BG"/>
        </w:rPr>
        <w:t>Този международен договор изисква предприемането на глобални действия по отношение на включените понастоящем 22 УОЗ вещества, групирани в три категории: 15 пестицида, 7 индустриални химикала и 4 странични продукта, образувани и отделяни непреднамерено от антропогенни източници, като някои УОЗ са едновременно пестициди и индустриални химикали. Към първоначалните 12 УОЗ,  на четвъртата и петата срещи на Конференцията на страните  през май 2009 г. (СОР4) и през април 2011 г.(СОР5) бяха включени общо десет нови УОЗ, съответно девет и едно вещества.</w:t>
      </w:r>
    </w:p>
    <w:p w14:paraId="65FF9BA3" w14:textId="6C3BBE5E" w:rsidR="004F6C38" w:rsidRDefault="00DE1B1C" w:rsidP="002C4A89">
      <w:pPr>
        <w:jc w:val="both"/>
        <w:rPr>
          <w:rFonts w:ascii="Times New Roman" w:eastAsia="Times New Roman" w:hAnsi="Times New Roman" w:cs="Times New Roman"/>
          <w:lang w:val="bg-BG"/>
        </w:rPr>
      </w:pPr>
      <w:r w:rsidRPr="00DE1B1C">
        <w:rPr>
          <w:lang w:val="ru-RU"/>
        </w:rPr>
        <w:t xml:space="preserve"> </w:t>
      </w:r>
      <w:r w:rsidR="00E80523" w:rsidRPr="00BD246F">
        <w:rPr>
          <w:rFonts w:ascii="Times New Roman" w:eastAsia="Times New Roman" w:hAnsi="Times New Roman" w:cs="Times New Roman"/>
          <w:lang w:val="bg-BG"/>
        </w:rPr>
        <w:t xml:space="preserve">Законодателството на ЕС в областта на химичните вещества и пестицидите има за цел да защити човешкото здраве и околната среда и да предотврати препятствията пред търговията. То се състои от правила, които уреждат предлагането на пазара и употребата на определени категории химически продукти, набор от хармонизирани ограничения относно пускането на пазара и употребата на конкретни опасни вещества и </w:t>
      </w:r>
      <w:r w:rsidR="004F6C38">
        <w:rPr>
          <w:rFonts w:ascii="Times New Roman" w:eastAsia="Times New Roman" w:hAnsi="Times New Roman" w:cs="Times New Roman"/>
          <w:lang w:val="bg-BG"/>
        </w:rPr>
        <w:t>смеси</w:t>
      </w:r>
      <w:r w:rsidR="00E80523" w:rsidRPr="00BD246F">
        <w:rPr>
          <w:rFonts w:ascii="Times New Roman" w:eastAsia="Times New Roman" w:hAnsi="Times New Roman" w:cs="Times New Roman"/>
          <w:lang w:val="bg-BG"/>
        </w:rPr>
        <w:t xml:space="preserve">, и правила в случай на големи аварии и износ на опасни вещества. Терминът „пестициди“ се използва за група вещества, използвани за потискане на развитието, премахване и предотвратяване на появата на организми, които се считат за вредни. Те включват биоцидните продукти и продуктите за растителна защита (ПРЗ). </w:t>
      </w:r>
    </w:p>
    <w:p w14:paraId="7D707E43" w14:textId="2E96B08B" w:rsidR="00E80523" w:rsidRPr="00490903" w:rsidRDefault="00E80523" w:rsidP="00E80523">
      <w:pPr>
        <w:spacing w:before="120" w:after="120" w:line="264" w:lineRule="auto"/>
        <w:jc w:val="both"/>
        <w:rPr>
          <w:rFonts w:ascii="Times New Roman" w:eastAsia="Times New Roman" w:hAnsi="Times New Roman" w:cs="Times New Roman"/>
          <w:lang w:val="ru-RU"/>
        </w:rPr>
      </w:pPr>
      <w:r w:rsidRPr="00BD246F">
        <w:rPr>
          <w:rFonts w:ascii="Times New Roman" w:eastAsia="Times New Roman" w:hAnsi="Times New Roman" w:cs="Times New Roman"/>
          <w:lang w:val="bg-BG"/>
        </w:rPr>
        <w:t>Най-голямото постижение на равнището на ЕС е регламентът REACH, който урежда регистрацията, оценката и разрешаването на опасни вещества, както и приложимите към тях ограничения.</w:t>
      </w:r>
    </w:p>
    <w:p w14:paraId="69D99BBA" w14:textId="45248F96"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 xml:space="preserve">Политиката на ЕС в областта на химичните вещества е преразгледана основно с въвеждането през 2006 r. на Регламент (EО) № 1907/2006 (регламента REACH). Регламентът </w:t>
      </w:r>
      <w:r w:rsidR="00F503D1" w:rsidRPr="00BD246F">
        <w:rPr>
          <w:rFonts w:ascii="Times New Roman" w:eastAsia="Times New Roman" w:hAnsi="Times New Roman" w:cs="Times New Roman"/>
          <w:lang w:val="bg-BG"/>
        </w:rPr>
        <w:t>е</w:t>
      </w:r>
      <w:r w:rsidRPr="00BD246F">
        <w:rPr>
          <w:rFonts w:ascii="Times New Roman" w:eastAsia="Times New Roman" w:hAnsi="Times New Roman" w:cs="Times New Roman"/>
          <w:lang w:val="bg-BG"/>
        </w:rPr>
        <w:t xml:space="preserve"> в сила </w:t>
      </w:r>
      <w:r w:rsidR="00F503D1" w:rsidRPr="00BD246F">
        <w:rPr>
          <w:rFonts w:ascii="Times New Roman" w:eastAsia="Times New Roman" w:hAnsi="Times New Roman" w:cs="Times New Roman"/>
          <w:lang w:val="bg-BG"/>
        </w:rPr>
        <w:t>от</w:t>
      </w:r>
      <w:r w:rsidRPr="00BD246F">
        <w:rPr>
          <w:rFonts w:ascii="Times New Roman" w:eastAsia="Times New Roman" w:hAnsi="Times New Roman" w:cs="Times New Roman"/>
          <w:lang w:val="bg-BG"/>
        </w:rPr>
        <w:t xml:space="preserve"> 1 юни 2007 г., създавайки нова правна рамка за регулиране на разработването и изпитването, производството, пускането на пазара и употребата на химичните вещества и заменяйки около 40 предходни законодателни акта. Целта на регламента REACH е осигуряване на по-добра защита на хората и околната среда от потенциални химични рискове и насърчаване на устойчивото развитие. С </w:t>
      </w:r>
      <w:r w:rsidRPr="00BD246F">
        <w:rPr>
          <w:rFonts w:ascii="Times New Roman" w:eastAsia="Times New Roman" w:hAnsi="Times New Roman" w:cs="Times New Roman"/>
          <w:lang w:val="bg-BG"/>
        </w:rPr>
        <w:lastRenderedPageBreak/>
        <w:t>регламента REACH е въведе</w:t>
      </w:r>
      <w:r w:rsidR="00BD246F" w:rsidRPr="00BD246F">
        <w:rPr>
          <w:rFonts w:ascii="Times New Roman" w:eastAsia="Times New Roman" w:hAnsi="Times New Roman" w:cs="Times New Roman"/>
          <w:lang w:val="bg-BG"/>
        </w:rPr>
        <w:t>на</w:t>
      </w:r>
      <w:r w:rsidRPr="00BD246F">
        <w:rPr>
          <w:rFonts w:ascii="Times New Roman" w:eastAsia="Times New Roman" w:hAnsi="Times New Roman" w:cs="Times New Roman"/>
          <w:lang w:val="bg-BG"/>
        </w:rPr>
        <w:t xml:space="preserve"> единна система за всички химични вещества и се премах</w:t>
      </w:r>
      <w:r w:rsidR="00BD246F" w:rsidRPr="00BD246F">
        <w:rPr>
          <w:rFonts w:ascii="Times New Roman" w:eastAsia="Times New Roman" w:hAnsi="Times New Roman" w:cs="Times New Roman"/>
          <w:lang w:val="bg-BG"/>
        </w:rPr>
        <w:t>в</w:t>
      </w:r>
      <w:r w:rsidRPr="00BD246F">
        <w:rPr>
          <w:rFonts w:ascii="Times New Roman" w:eastAsia="Times New Roman" w:hAnsi="Times New Roman" w:cs="Times New Roman"/>
          <w:lang w:val="bg-BG"/>
        </w:rPr>
        <w:t>а разграничаването между „нови“ химични вещества (пуснати на пазара след 1981 г.) и „съществуващи“ химични вещества (регистрирани преди 1981 г.). С него тежестта на доказването при оценката на риска на веществата се прехвърл</w:t>
      </w:r>
      <w:r w:rsidR="00BD246F" w:rsidRPr="00BD246F">
        <w:rPr>
          <w:rFonts w:ascii="Times New Roman" w:eastAsia="Times New Roman" w:hAnsi="Times New Roman" w:cs="Times New Roman"/>
          <w:lang w:val="bg-BG"/>
        </w:rPr>
        <w:t>я</w:t>
      </w:r>
      <w:r w:rsidRPr="00BD246F">
        <w:rPr>
          <w:rFonts w:ascii="Times New Roman" w:eastAsia="Times New Roman" w:hAnsi="Times New Roman" w:cs="Times New Roman"/>
          <w:lang w:val="bg-BG"/>
        </w:rPr>
        <w:t xml:space="preserve"> от публичните органи към дружествата. Освен това в него се призовава за замяна на най-опасните химикали с подходящи алтернативи.</w:t>
      </w:r>
    </w:p>
    <w:p w14:paraId="5C381FB6" w14:textId="26A5587E"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 xml:space="preserve">Европейската агенция по химикалите (ECHA) със седалище в Хелзинки, създадена съгласно този регламент, отговаря за управлението на техническите, научните и административните аспекти на регламента REACH и за гарантирането на съгласуваност при неговото прилагане. </w:t>
      </w:r>
    </w:p>
    <w:p w14:paraId="70256D98" w14:textId="3FC62F8B" w:rsidR="00E80523"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През февруари 2013 г. Комисията публикува преглед на регламента REACH, в който заключава, че регламентът не се нуждае от промени в разпоредителната си част, въпреки че има какво да се желае по отношение на намаляването на финансовата и административната тежест за предприятията и намирането на алтернативи на изпитванията върху животни. През 2017 г. Комисията проведе втора оценка по Програмата за пригодност и резултатност на регулаторната рамка (REFIT), резултатите от която са публикувани в документа COM(2018)0116. Като цяло в оценката се заключава, че регламентът REACH е ефективен, но че са установени възможности за по-нататъшното му усъвършенстване и опростяване и за намаляване на административната тежест, което може да се постигне чрез изпълнение на действията, очертани в доклада. Те следва да се изпълняват в съответствие с обновената стратегия за промишлената политика на ЕС, плана за действие на ЕС за кръгова икономика и Седмата програма за действие за околната среда.</w:t>
      </w:r>
    </w:p>
    <w:p w14:paraId="0B2E2D31" w14:textId="77777777" w:rsidR="004F6C38" w:rsidRPr="005F6A29" w:rsidRDefault="004F6C38" w:rsidP="00863834">
      <w:pPr>
        <w:spacing w:before="120" w:after="120" w:line="264" w:lineRule="auto"/>
        <w:jc w:val="both"/>
        <w:rPr>
          <w:rFonts w:ascii="Times New Roman" w:hAnsi="Times New Roman" w:cs="Times New Roman"/>
          <w:lang w:val="bg-BG"/>
        </w:rPr>
      </w:pPr>
      <w:r w:rsidRPr="005F6A29">
        <w:rPr>
          <w:rFonts w:ascii="Times New Roman" w:hAnsi="Times New Roman" w:cs="Times New Roman"/>
          <w:lang w:val="bg-BG"/>
        </w:rPr>
        <w:t>През март 2018 г. Комисията публикува оценка на Регламента REACH</w:t>
      </w:r>
      <w:r w:rsidRPr="005F6A29">
        <w:rPr>
          <w:rStyle w:val="FootnoteReference"/>
          <w:rFonts w:ascii="Times New Roman" w:hAnsi="Times New Roman" w:cs="Times New Roman"/>
          <w:lang w:val="bg-BG"/>
        </w:rPr>
        <w:footnoteReference w:id="6"/>
      </w:r>
      <w:r w:rsidRPr="005F6A29">
        <w:rPr>
          <w:rFonts w:ascii="Times New Roman" w:hAnsi="Times New Roman" w:cs="Times New Roman"/>
          <w:lang w:val="bg-BG"/>
        </w:rPr>
        <w:t>. В оценката се прави заключение, че регламентът изпълнява своите цели, но постигнатият напредък е по-бавен от очакваното и че регистрационните досиета често са непълни. В нея също така се подчертава необходимостта от по-стриктно прилагане на законодателството от страна на всички участници, включително регистрантите, потребителите надолу по веригата и особено вносителите, за да се гарантират условия на равнопоставеност, да се изпълнят целите на Регламента REACH и да се осигури съгласуваност с предвидените действия за подобряване на спазването на законодателството и управлението в областта на околната среда. Във връзка с това беше подчертана важността на систематичното докладване за дейностите по прилагане на законодателството от страна на държавите членки.</w:t>
      </w:r>
    </w:p>
    <w:p w14:paraId="7AE218A6" w14:textId="5A2272F0" w:rsidR="00962E30" w:rsidRPr="00083D66" w:rsidRDefault="00962E30" w:rsidP="00490903">
      <w:pPr>
        <w:suppressAutoHyphens/>
        <w:autoSpaceDN w:val="0"/>
        <w:spacing w:before="120" w:after="120" w:line="264" w:lineRule="auto"/>
        <w:jc w:val="both"/>
        <w:textAlignment w:val="baseline"/>
        <w:rPr>
          <w:rFonts w:ascii="Times New Roman" w:eastAsia="Times New Roman" w:hAnsi="Times New Roman" w:cs="Times New Roman"/>
          <w:lang w:val="bg-BG"/>
        </w:rPr>
      </w:pPr>
      <w:r w:rsidRPr="00083D66">
        <w:rPr>
          <w:rFonts w:ascii="Times New Roman" w:eastAsia="Times New Roman" w:hAnsi="Times New Roman" w:cs="Times New Roman"/>
          <w:color w:val="000000"/>
          <w:shd w:val="clear" w:color="auto" w:fill="FFFFFF"/>
          <w:lang w:val="bg-BG"/>
        </w:rPr>
        <w:t xml:space="preserve">Програмата до 2030 г. за устойчиво развитие (наричана по-долу „Програмата до 2030 г.“), приета от Организацията на обединените нации (ООН) през септември 2015 г., представлява нова и амбициозна рамка за постигане на устойчиво развитие и изкореняване на бедността. Същността на Програмата до 2030 г. се състои </w:t>
      </w:r>
      <w:r w:rsidRPr="00083D66">
        <w:rPr>
          <w:rFonts w:ascii="Times New Roman" w:eastAsia="Times New Roman" w:hAnsi="Times New Roman" w:cs="Times New Roman"/>
          <w:color w:val="000000"/>
          <w:lang w:val="bg-BG"/>
        </w:rPr>
        <w:t xml:space="preserve">от 17 </w:t>
      </w:r>
      <w:r w:rsidRPr="00083D66">
        <w:rPr>
          <w:rFonts w:ascii="Times New Roman" w:eastAsia="Times New Roman" w:hAnsi="Times New Roman" w:cs="Times New Roman"/>
          <w:color w:val="000000"/>
          <w:shd w:val="clear" w:color="auto" w:fill="FFFFFF"/>
          <w:lang w:val="bg-BG"/>
        </w:rPr>
        <w:t xml:space="preserve">Цели за устойчиво развитие (ЦУР) и свързаните с тях практически насочени задачи. Тези, които са свързани с управление на химикали са: Цел 3 Добро здраве, 3.9. </w:t>
      </w:r>
      <w:r w:rsidRPr="00083D66">
        <w:rPr>
          <w:rFonts w:ascii="Times New Roman" w:hAnsi="Times New Roman" w:cs="Times New Roman"/>
          <w:lang w:val="bg-BG"/>
        </w:rPr>
        <w:t xml:space="preserve">3.9 Значително намаляване до 2030 година на броя на смъртните случаи и заболявания от опасни химични вещества и от замърсяване и заразяване на въздуха, водите и почвите. 6.Чиста вода и санитарно-хигиенни условия, 6.3 Подобряване до 2030 година качеството на водата чрез намаляване на замърсяването, ликвидиране на изхвърлянето на отпадъци и намаляване до минимум на отделянето на опасни химични вещества и материали; намаляване наполовина дела на непречистените отпадъчни води и значително увеличаване на рециклирането и безопасното повторно използване на водата в световен мащаб. 12.Отговорно потребление, </w:t>
      </w:r>
      <w:r w:rsidR="008609BD" w:rsidRPr="00083D66">
        <w:rPr>
          <w:rFonts w:ascii="Times New Roman" w:hAnsi="Times New Roman" w:cs="Times New Roman"/>
          <w:lang w:val="bg-BG"/>
        </w:rPr>
        <w:t>12.4 Постигане до 2020 година на екосъобразно управление на химикалите и всички отпадъци през целия им жизнен цикъл в съответствие с международно приетите рамки и значително намаляване на изпускането им във въздуха, водите и почвите с оглед свеждане до минимум на неблагоприятните им въздействия върху човешкото здраве и околната среда.</w:t>
      </w:r>
    </w:p>
    <w:p w14:paraId="0FABDB1E" w14:textId="664B9F24" w:rsidR="006D7FED" w:rsidRPr="00BD246F" w:rsidRDefault="006D7FED" w:rsidP="006D7FED">
      <w:pPr>
        <w:spacing w:before="120" w:after="120" w:line="264" w:lineRule="auto"/>
        <w:jc w:val="both"/>
        <w:rPr>
          <w:rFonts w:ascii="Times New Roman" w:eastAsia="Times New Roman" w:hAnsi="Times New Roman" w:cs="Times New Roman"/>
          <w:b/>
          <w:bCs/>
          <w:lang w:val="bg-BG" w:eastAsia="en-GB"/>
        </w:rPr>
      </w:pPr>
      <w:r w:rsidRPr="00BD246F">
        <w:rPr>
          <w:rFonts w:ascii="Times New Roman" w:eastAsia="Times New Roman" w:hAnsi="Times New Roman" w:cs="Times New Roman"/>
          <w:b/>
          <w:bCs/>
          <w:lang w:val="bg-BG" w:eastAsia="en-GB"/>
        </w:rPr>
        <w:t>Стратегия за устойчивост в областта на химикалите</w:t>
      </w:r>
    </w:p>
    <w:p w14:paraId="4F01C8B7" w14:textId="024BC85D" w:rsidR="006D7FED" w:rsidRPr="00BD246F" w:rsidRDefault="006D7FED" w:rsidP="006D7FED">
      <w:pPr>
        <w:spacing w:before="120" w:after="120" w:line="264" w:lineRule="auto"/>
        <w:jc w:val="both"/>
        <w:rPr>
          <w:rFonts w:ascii="Times New Roman" w:eastAsia="Times New Roman" w:hAnsi="Times New Roman" w:cs="Times New Roman"/>
          <w:lang w:val="bg-BG" w:eastAsia="en-GB"/>
        </w:rPr>
      </w:pPr>
      <w:r w:rsidRPr="00BD246F">
        <w:rPr>
          <w:rFonts w:ascii="Times New Roman" w:eastAsia="Times New Roman" w:hAnsi="Times New Roman" w:cs="Times New Roman"/>
          <w:lang w:val="bg-BG" w:eastAsia="en-GB"/>
        </w:rPr>
        <w:t>На 14 октомври 2020 г. Европейската комисия представ</w:t>
      </w:r>
      <w:r w:rsidR="000A0734">
        <w:rPr>
          <w:rFonts w:ascii="Times New Roman" w:eastAsia="Times New Roman" w:hAnsi="Times New Roman" w:cs="Times New Roman"/>
          <w:lang w:val="bg-BG" w:eastAsia="en-GB"/>
        </w:rPr>
        <w:t>я</w:t>
      </w:r>
      <w:r w:rsidRPr="00BD246F">
        <w:rPr>
          <w:rFonts w:ascii="Times New Roman" w:eastAsia="Times New Roman" w:hAnsi="Times New Roman" w:cs="Times New Roman"/>
          <w:lang w:val="bg-BG" w:eastAsia="en-GB"/>
        </w:rPr>
        <w:t xml:space="preserve"> „Стратегия за устойчивост в областта на химикалите — Към нетоксична околна среда“</w:t>
      </w:r>
      <w:r w:rsidRPr="00BD246F">
        <w:rPr>
          <w:rStyle w:val="FootnoteReference"/>
          <w:rFonts w:ascii="Times New Roman" w:eastAsia="Times New Roman" w:hAnsi="Times New Roman" w:cs="Times New Roman"/>
          <w:lang w:val="bg-BG" w:eastAsia="en-GB"/>
        </w:rPr>
        <w:footnoteReference w:id="7"/>
      </w:r>
      <w:r w:rsidRPr="00BD246F">
        <w:rPr>
          <w:rFonts w:ascii="Times New Roman" w:eastAsia="Times New Roman" w:hAnsi="Times New Roman" w:cs="Times New Roman"/>
          <w:lang w:val="bg-BG" w:eastAsia="en-GB"/>
        </w:rPr>
        <w:t>. Стратегията за химикалите е съществена част от Зеления пакт и неговата амбиция за нулево замърсяване. Освен това тя е ключов елемент в плана за възстановяване от кризата с COVID-19.</w:t>
      </w:r>
    </w:p>
    <w:p w14:paraId="127E04E0" w14:textId="58B1234F" w:rsidR="006D7FED" w:rsidRPr="000A0734" w:rsidRDefault="006D7FED" w:rsidP="006D7FED">
      <w:pPr>
        <w:spacing w:before="120" w:after="120" w:line="264" w:lineRule="auto"/>
        <w:jc w:val="both"/>
        <w:rPr>
          <w:rFonts w:ascii="Times New Roman" w:hAnsi="Times New Roman" w:cs="Times New Roman"/>
          <w:noProof/>
          <w:lang w:val="bg-BG"/>
        </w:rPr>
      </w:pPr>
      <w:r w:rsidRPr="000A0734">
        <w:rPr>
          <w:rFonts w:ascii="Times New Roman" w:hAnsi="Times New Roman" w:cs="Times New Roman"/>
          <w:noProof/>
          <w:lang w:val="bg-BG"/>
        </w:rPr>
        <w:t>Почти 20 години след първия стратегически подход към управлението на химикалите в Европа</w:t>
      </w:r>
      <w:r w:rsidRPr="000A0734">
        <w:rPr>
          <w:rStyle w:val="FootnoteReference"/>
          <w:rFonts w:ascii="Times New Roman" w:hAnsi="Times New Roman" w:cs="Times New Roman"/>
          <w:noProof/>
          <w:lang w:val="bg-BG"/>
        </w:rPr>
        <w:footnoteReference w:id="8"/>
      </w:r>
      <w:r w:rsidRPr="000A0734">
        <w:rPr>
          <w:rFonts w:ascii="Times New Roman" w:hAnsi="Times New Roman" w:cs="Times New Roman"/>
          <w:noProof/>
          <w:lang w:val="bg-BG"/>
        </w:rPr>
        <w:t xml:space="preserve"> е очертана нова дългосрочна визия за политиката на ЕС в областта на химикалите. В съответствие с Европейския зелен пакт</w:t>
      </w:r>
      <w:r w:rsidR="004F6C38" w:rsidRPr="000A0734">
        <w:rPr>
          <w:rFonts w:ascii="Times New Roman" w:hAnsi="Times New Roman" w:cs="Times New Roman"/>
          <w:noProof/>
          <w:lang w:val="bg-BG"/>
        </w:rPr>
        <w:t>,</w:t>
      </w:r>
      <w:r w:rsidRPr="000A0734">
        <w:rPr>
          <w:rFonts w:ascii="Times New Roman" w:hAnsi="Times New Roman" w:cs="Times New Roman"/>
          <w:noProof/>
          <w:lang w:val="bg-BG"/>
        </w:rPr>
        <w:t xml:space="preserve"> стратегията се стреми към нетоксична околна среда, в която химикалите се произвеждат и използват по начин, който оптимизира приноса им за обществото, в това число осъществяването на екологичния и цифровия преход, като същевременно предотвратява вредите за планетата и за настоящите и бъдещите поколения. Тя предвижда промишлеността на ЕС да се превърне в </w:t>
      </w:r>
      <w:r w:rsidRPr="000A0734">
        <w:rPr>
          <w:rFonts w:ascii="Times New Roman" w:hAnsi="Times New Roman" w:cs="Times New Roman"/>
          <w:bCs/>
          <w:noProof/>
          <w:lang w:val="bg-BG"/>
        </w:rPr>
        <w:t>конкурентоспособен в световен мащаб участник</w:t>
      </w:r>
      <w:r w:rsidRPr="000A0734">
        <w:rPr>
          <w:rFonts w:ascii="Times New Roman" w:hAnsi="Times New Roman" w:cs="Times New Roman"/>
          <w:noProof/>
          <w:lang w:val="bg-BG"/>
        </w:rPr>
        <w:t xml:space="preserve"> в производството и употребата на </w:t>
      </w:r>
      <w:r w:rsidRPr="000A0734">
        <w:rPr>
          <w:rFonts w:ascii="Times New Roman" w:hAnsi="Times New Roman" w:cs="Times New Roman"/>
          <w:noProof/>
          <w:szCs w:val="24"/>
          <w:lang w:val="bg-BG"/>
        </w:rPr>
        <w:t>безопасни и устойчиви химикали</w:t>
      </w:r>
      <w:r w:rsidRPr="000A0734">
        <w:rPr>
          <w:rFonts w:ascii="Times New Roman" w:hAnsi="Times New Roman" w:cs="Times New Roman"/>
          <w:noProof/>
          <w:lang w:val="bg-BG"/>
        </w:rPr>
        <w:t xml:space="preserve">. Стратегията предлага ясна пътна карта и график за преобразуването на промишлеността с цел привличане на инвестиции в безопасни и устойчиви продукти и производствени методи. </w:t>
      </w:r>
    </w:p>
    <w:p w14:paraId="078DCA8A" w14:textId="77777777" w:rsidR="006D7FED" w:rsidRPr="00BD246F" w:rsidRDefault="006D7FED" w:rsidP="006D7FED">
      <w:pPr>
        <w:spacing w:before="120" w:after="120" w:line="264" w:lineRule="auto"/>
        <w:jc w:val="both"/>
        <w:rPr>
          <w:rFonts w:ascii="Times New Roman" w:hAnsi="Times New Roman" w:cs="Times New Roman"/>
          <w:i/>
          <w:iCs/>
          <w:lang w:val="bg-BG"/>
        </w:rPr>
      </w:pPr>
      <w:r w:rsidRPr="00BD246F">
        <w:rPr>
          <w:rFonts w:ascii="Times New Roman" w:hAnsi="Times New Roman" w:cs="Times New Roman"/>
          <w:i/>
          <w:iCs/>
          <w:lang w:val="bg-BG"/>
        </w:rPr>
        <w:t>Източник: Европейска агенция по околна среда</w:t>
      </w:r>
    </w:p>
    <w:p w14:paraId="659FB658" w14:textId="77777777" w:rsidR="006D7FED" w:rsidRPr="00BD246F" w:rsidRDefault="006D7FED" w:rsidP="006D7FED">
      <w:pPr>
        <w:spacing w:after="120"/>
        <w:jc w:val="center"/>
        <w:rPr>
          <w:i/>
          <w:noProof/>
          <w:lang w:val="bg-BG"/>
        </w:rPr>
      </w:pPr>
    </w:p>
    <w:p w14:paraId="3B23403C" w14:textId="77777777" w:rsidR="006D7FED" w:rsidRPr="00BD246F" w:rsidRDefault="006D7FED" w:rsidP="006D7FED">
      <w:pPr>
        <w:spacing w:after="120"/>
        <w:jc w:val="center"/>
        <w:rPr>
          <w:i/>
          <w:noProof/>
          <w:lang w:val="bg-BG"/>
        </w:rPr>
      </w:pPr>
      <w:r w:rsidRPr="00BD246F">
        <w:rPr>
          <w:i/>
          <w:noProof/>
        </w:rPr>
        <w:drawing>
          <wp:inline distT="0" distB="0" distL="0" distR="0" wp14:anchorId="2BC1DCBF" wp14:editId="473E59FD">
            <wp:extent cx="5715000" cy="1876425"/>
            <wp:effectExtent l="0" t="0" r="0" b="9525"/>
            <wp:docPr id="343" name="Picture 3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15000" cy="1876425"/>
                    </a:xfrm>
                    <a:prstGeom prst="rect">
                      <a:avLst/>
                    </a:prstGeom>
                    <a:noFill/>
                    <a:ln>
                      <a:noFill/>
                    </a:ln>
                  </pic:spPr>
                </pic:pic>
              </a:graphicData>
            </a:graphic>
          </wp:inline>
        </w:drawing>
      </w:r>
    </w:p>
    <w:p w14:paraId="526417B6" w14:textId="7A118D01" w:rsidR="006D7FED" w:rsidRPr="00BD246F" w:rsidRDefault="00FD4F72" w:rsidP="00FD4F72">
      <w:pPr>
        <w:pStyle w:val="Caption"/>
        <w:rPr>
          <w:noProof/>
        </w:rPr>
      </w:pPr>
      <w:bookmarkStart w:id="3" w:name="_Toc73013954"/>
      <w:r>
        <w:t xml:space="preserve">Фигура </w:t>
      </w:r>
      <w:r>
        <w:fldChar w:fldCharType="begin"/>
      </w:r>
      <w:r>
        <w:instrText xml:space="preserve"> SEQ Фигура \* ARABIC </w:instrText>
      </w:r>
      <w:r>
        <w:fldChar w:fldCharType="separate"/>
      </w:r>
      <w:r w:rsidR="00D9741F">
        <w:rPr>
          <w:noProof/>
        </w:rPr>
        <w:t>1</w:t>
      </w:r>
      <w:r>
        <w:fldChar w:fldCharType="end"/>
      </w:r>
      <w:r w:rsidR="006D7FED" w:rsidRPr="00BD246F">
        <w:rPr>
          <w:noProof/>
        </w:rPr>
        <w:t>: Йерархия на нетоксичността — нова йерархия в управлението на химикалите</w:t>
      </w:r>
      <w:bookmarkEnd w:id="3"/>
    </w:p>
    <w:p w14:paraId="64EE79C1" w14:textId="003D52FE" w:rsidR="006D7FED" w:rsidRPr="00BD246F" w:rsidRDefault="006D7FED" w:rsidP="00AA4894">
      <w:pPr>
        <w:pStyle w:val="Text2"/>
        <w:spacing w:before="120" w:after="120" w:line="264" w:lineRule="auto"/>
        <w:ind w:left="0"/>
        <w:rPr>
          <w:noProof/>
          <w:sz w:val="22"/>
          <w:szCs w:val="22"/>
        </w:rPr>
      </w:pPr>
      <w:r w:rsidRPr="00BD246F">
        <w:rPr>
          <w:noProof/>
          <w:sz w:val="22"/>
          <w:szCs w:val="22"/>
        </w:rPr>
        <w:t>Предложената стратегия чертае пътя към постигането на тази визия чрез действия за подкрепа на иновациите за безопасни и устойчиви химикали, за подобряване на защитата на човешкото здраве и околната среда, за опростяване и укрепване на правната рамка за химикалите, за изграждане на всеобхватна база от знания в подкрепа на разработването на основани на факти политики и за даване на пример за добро управление на химикалите като цяло.</w:t>
      </w:r>
      <w:r w:rsidR="002302B2">
        <w:rPr>
          <w:noProof/>
          <w:sz w:val="22"/>
          <w:szCs w:val="22"/>
        </w:rPr>
        <w:t xml:space="preserve"> Стр</w:t>
      </w:r>
      <w:r w:rsidR="00863834">
        <w:rPr>
          <w:noProof/>
          <w:sz w:val="22"/>
          <w:szCs w:val="22"/>
        </w:rPr>
        <w:t>а</w:t>
      </w:r>
      <w:r w:rsidR="002302B2">
        <w:rPr>
          <w:noProof/>
          <w:sz w:val="22"/>
          <w:szCs w:val="22"/>
        </w:rPr>
        <w:t>тегията формулира следните приоритети:</w:t>
      </w:r>
    </w:p>
    <w:p w14:paraId="20EEBCCF" w14:textId="1F1F72EA" w:rsidR="004D2AC4" w:rsidRPr="00863834" w:rsidRDefault="00AA4894" w:rsidP="00863834">
      <w:pPr>
        <w:spacing w:before="120" w:after="120" w:line="264" w:lineRule="auto"/>
        <w:jc w:val="both"/>
        <w:rPr>
          <w:rFonts w:ascii="Times New Roman" w:hAnsi="Times New Roman" w:cs="Times New Roman"/>
          <w:lang w:val="bg-BG"/>
        </w:rPr>
      </w:pPr>
      <w:r w:rsidRPr="00863834">
        <w:rPr>
          <w:rFonts w:ascii="Times New Roman" w:eastAsia="Times New Roman" w:hAnsi="Times New Roman" w:cs="Times New Roman"/>
          <w:b/>
          <w:lang w:val="bg-BG"/>
        </w:rPr>
        <w:t xml:space="preserve">Иновации за безопасни и устойчиви химикали в ЕС. </w:t>
      </w:r>
      <w:r w:rsidR="004D2AC4" w:rsidRPr="00863834">
        <w:rPr>
          <w:rFonts w:ascii="Times New Roman" w:hAnsi="Times New Roman" w:cs="Times New Roman"/>
          <w:lang w:val="bg-BG"/>
        </w:rPr>
        <w:t>Преходът към химикали, които са безопасни и устойчиви още при проектирането си, е не само неотложна потребност за обществото, но и голяма икономическа възможност, както и ключов елемент от възстановяването на ЕС от кризата с COVID-</w:t>
      </w:r>
      <w:r w:rsidR="002302B2" w:rsidRPr="00863834">
        <w:rPr>
          <w:rFonts w:ascii="Times New Roman" w:hAnsi="Times New Roman" w:cs="Times New Roman"/>
          <w:lang w:val="bg-BG"/>
        </w:rPr>
        <w:t xml:space="preserve">19. Въз основа на </w:t>
      </w:r>
      <w:r w:rsidR="004D2AC4" w:rsidRPr="00863834">
        <w:rPr>
          <w:rFonts w:ascii="Times New Roman" w:hAnsi="Times New Roman" w:cs="Times New Roman"/>
          <w:lang w:val="bg-BG"/>
        </w:rPr>
        <w:t xml:space="preserve">тенденциите в световното производство на химикали, </w:t>
      </w:r>
      <w:r w:rsidR="002302B2" w:rsidRPr="00863834">
        <w:rPr>
          <w:rFonts w:ascii="Times New Roman" w:hAnsi="Times New Roman" w:cs="Times New Roman"/>
          <w:lang w:val="bg-BG"/>
        </w:rPr>
        <w:t>се предоставя възможност</w:t>
      </w:r>
      <w:r w:rsidR="004D2AC4" w:rsidRPr="00863834">
        <w:rPr>
          <w:rFonts w:ascii="Times New Roman" w:hAnsi="Times New Roman" w:cs="Times New Roman"/>
          <w:lang w:val="bg-BG"/>
        </w:rPr>
        <w:t xml:space="preserve"> за химическата промишленост на ЕС да възвърне конкурентоспособността си, като продължи да разработва безопасни и устойчиви химикали и да предлага устойчиви решения във всички сектори, по-специално за строителни материали, текстил, мобилност с ниски въглеродни емисии, акумулаторни батерии, вятърни турбини и възобновяеми енергийни източници. В предложението на Комисията за Next Generation EU и в Механизм</w:t>
      </w:r>
      <w:r w:rsidR="009853A2" w:rsidRPr="00863834">
        <w:rPr>
          <w:rFonts w:ascii="Times New Roman" w:hAnsi="Times New Roman" w:cs="Times New Roman"/>
          <w:lang w:val="bg-BG"/>
        </w:rPr>
        <w:t>а</w:t>
      </w:r>
      <w:r w:rsidR="004D2AC4" w:rsidRPr="00863834">
        <w:rPr>
          <w:rFonts w:ascii="Times New Roman" w:hAnsi="Times New Roman" w:cs="Times New Roman"/>
          <w:lang w:val="bg-BG"/>
        </w:rPr>
        <w:t xml:space="preserve"> за възстановяване и устойчивост се предвижда държавите</w:t>
      </w:r>
      <w:r w:rsidR="009853A2" w:rsidRPr="00863834">
        <w:rPr>
          <w:rFonts w:ascii="Times New Roman" w:hAnsi="Times New Roman" w:cs="Times New Roman"/>
          <w:lang w:val="bg-BG"/>
        </w:rPr>
        <w:t xml:space="preserve"> -</w:t>
      </w:r>
      <w:r w:rsidR="004D2AC4" w:rsidRPr="00863834">
        <w:rPr>
          <w:rFonts w:ascii="Times New Roman" w:hAnsi="Times New Roman" w:cs="Times New Roman"/>
          <w:lang w:val="bg-BG"/>
        </w:rPr>
        <w:t xml:space="preserve"> членки на ЕС, да инвестират в проекти, които улесняват екологичния и цифровия преход на промишлените сектори на ЕС, в това число и на химическия сектор, и да насърчават конкурентоспособността на устойчивата промишленост на ЕС. Преходът към устойчиви химикали ще отчита и социално-икономическите последици, включително въздействието върху заетостта на конкретни региони, сектори и работници.</w:t>
      </w:r>
      <w:r w:rsidR="002302B2" w:rsidRPr="00863834">
        <w:rPr>
          <w:rFonts w:ascii="Times New Roman" w:hAnsi="Times New Roman" w:cs="Times New Roman"/>
          <w:lang w:val="bg-BG"/>
        </w:rPr>
        <w:t xml:space="preserve"> В този приоритет е включено следното: </w:t>
      </w:r>
    </w:p>
    <w:p w14:paraId="0AF6B3B2" w14:textId="77777777" w:rsidR="004D2AC4" w:rsidRPr="00863834" w:rsidRDefault="004D2AC4" w:rsidP="00863834">
      <w:pPr>
        <w:pStyle w:val="ListParagraph"/>
        <w:widowControl w:val="0"/>
        <w:numPr>
          <w:ilvl w:val="3"/>
          <w:numId w:val="38"/>
        </w:numPr>
        <w:tabs>
          <w:tab w:val="left" w:pos="2552"/>
        </w:tabs>
        <w:autoSpaceDE w:val="0"/>
        <w:autoSpaceDN w:val="0"/>
        <w:spacing w:before="120" w:after="120" w:line="264" w:lineRule="auto"/>
        <w:ind w:left="426" w:right="983" w:hanging="425"/>
        <w:jc w:val="both"/>
        <w:rPr>
          <w:rFonts w:ascii="Times New Roman" w:hAnsi="Times New Roman" w:cs="Times New Roman"/>
          <w:i/>
        </w:rPr>
      </w:pPr>
      <w:r w:rsidRPr="00863834">
        <w:rPr>
          <w:rFonts w:ascii="Times New Roman" w:hAnsi="Times New Roman" w:cs="Times New Roman"/>
          <w:i/>
        </w:rPr>
        <w:t>Насърчаване</w:t>
      </w:r>
      <w:r w:rsidRPr="00863834">
        <w:rPr>
          <w:rFonts w:ascii="Times New Roman" w:hAnsi="Times New Roman" w:cs="Times New Roman"/>
          <w:i/>
          <w:spacing w:val="1"/>
        </w:rPr>
        <w:t xml:space="preserve"> </w:t>
      </w:r>
      <w:r w:rsidRPr="00863834">
        <w:rPr>
          <w:rFonts w:ascii="Times New Roman" w:hAnsi="Times New Roman" w:cs="Times New Roman"/>
          <w:i/>
        </w:rPr>
        <w:t>на</w:t>
      </w:r>
      <w:r w:rsidRPr="00863834">
        <w:rPr>
          <w:rFonts w:ascii="Times New Roman" w:hAnsi="Times New Roman" w:cs="Times New Roman"/>
          <w:i/>
          <w:spacing w:val="1"/>
        </w:rPr>
        <w:t xml:space="preserve"> </w:t>
      </w:r>
      <w:r w:rsidRPr="00863834">
        <w:rPr>
          <w:rFonts w:ascii="Times New Roman" w:hAnsi="Times New Roman" w:cs="Times New Roman"/>
          <w:i/>
        </w:rPr>
        <w:t>безопасни</w:t>
      </w:r>
      <w:r w:rsidRPr="00863834">
        <w:rPr>
          <w:rFonts w:ascii="Times New Roman" w:hAnsi="Times New Roman" w:cs="Times New Roman"/>
          <w:i/>
          <w:spacing w:val="1"/>
        </w:rPr>
        <w:t xml:space="preserve"> </w:t>
      </w:r>
      <w:r w:rsidRPr="00863834">
        <w:rPr>
          <w:rFonts w:ascii="Times New Roman" w:hAnsi="Times New Roman" w:cs="Times New Roman"/>
          <w:i/>
        </w:rPr>
        <w:t>и</w:t>
      </w:r>
      <w:r w:rsidRPr="00863834">
        <w:rPr>
          <w:rFonts w:ascii="Times New Roman" w:hAnsi="Times New Roman" w:cs="Times New Roman"/>
          <w:i/>
          <w:spacing w:val="1"/>
        </w:rPr>
        <w:t xml:space="preserve"> </w:t>
      </w:r>
      <w:r w:rsidRPr="00863834">
        <w:rPr>
          <w:rFonts w:ascii="Times New Roman" w:hAnsi="Times New Roman" w:cs="Times New Roman"/>
          <w:i/>
        </w:rPr>
        <w:t>устойчиви</w:t>
      </w:r>
      <w:r w:rsidRPr="00863834">
        <w:rPr>
          <w:rFonts w:ascii="Times New Roman" w:hAnsi="Times New Roman" w:cs="Times New Roman"/>
          <w:i/>
          <w:spacing w:val="1"/>
        </w:rPr>
        <w:t xml:space="preserve"> </w:t>
      </w:r>
      <w:r w:rsidRPr="00863834">
        <w:rPr>
          <w:rFonts w:ascii="Times New Roman" w:hAnsi="Times New Roman" w:cs="Times New Roman"/>
          <w:i/>
        </w:rPr>
        <w:t>химикали</w:t>
      </w:r>
      <w:r w:rsidRPr="00863834">
        <w:rPr>
          <w:rFonts w:ascii="Times New Roman" w:hAnsi="Times New Roman" w:cs="Times New Roman"/>
          <w:i/>
          <w:spacing w:val="1"/>
        </w:rPr>
        <w:t xml:space="preserve"> </w:t>
      </w:r>
      <w:r w:rsidRPr="00863834">
        <w:rPr>
          <w:rFonts w:ascii="Times New Roman" w:hAnsi="Times New Roman" w:cs="Times New Roman"/>
          <w:i/>
        </w:rPr>
        <w:t>още</w:t>
      </w:r>
      <w:r w:rsidRPr="00863834">
        <w:rPr>
          <w:rFonts w:ascii="Times New Roman" w:hAnsi="Times New Roman" w:cs="Times New Roman"/>
          <w:i/>
          <w:spacing w:val="1"/>
        </w:rPr>
        <w:t xml:space="preserve"> </w:t>
      </w:r>
      <w:r w:rsidRPr="00863834">
        <w:rPr>
          <w:rFonts w:ascii="Times New Roman" w:hAnsi="Times New Roman" w:cs="Times New Roman"/>
          <w:i/>
        </w:rPr>
        <w:t>при</w:t>
      </w:r>
      <w:r w:rsidRPr="00863834">
        <w:rPr>
          <w:rFonts w:ascii="Times New Roman" w:hAnsi="Times New Roman" w:cs="Times New Roman"/>
          <w:i/>
          <w:spacing w:val="1"/>
        </w:rPr>
        <w:t xml:space="preserve"> </w:t>
      </w:r>
      <w:r w:rsidRPr="00863834">
        <w:rPr>
          <w:rFonts w:ascii="Times New Roman" w:hAnsi="Times New Roman" w:cs="Times New Roman"/>
          <w:i/>
        </w:rPr>
        <w:t>проектирането</w:t>
      </w:r>
    </w:p>
    <w:p w14:paraId="05F5306F" w14:textId="77777777" w:rsidR="004D2AC4" w:rsidRPr="00863834" w:rsidRDefault="004D2AC4" w:rsidP="00863834">
      <w:pPr>
        <w:pStyle w:val="ListParagraph"/>
        <w:widowControl w:val="0"/>
        <w:numPr>
          <w:ilvl w:val="3"/>
          <w:numId w:val="38"/>
        </w:numPr>
        <w:tabs>
          <w:tab w:val="left" w:pos="2552"/>
        </w:tabs>
        <w:autoSpaceDE w:val="0"/>
        <w:autoSpaceDN w:val="0"/>
        <w:spacing w:before="120" w:after="120" w:line="264" w:lineRule="auto"/>
        <w:ind w:left="426" w:right="979" w:hanging="425"/>
        <w:jc w:val="both"/>
        <w:rPr>
          <w:rFonts w:ascii="Times New Roman" w:hAnsi="Times New Roman" w:cs="Times New Roman"/>
          <w:i/>
        </w:rPr>
      </w:pPr>
      <w:r w:rsidRPr="00863834">
        <w:rPr>
          <w:rFonts w:ascii="Times New Roman" w:hAnsi="Times New Roman" w:cs="Times New Roman"/>
          <w:i/>
        </w:rPr>
        <w:t>Постигане</w:t>
      </w:r>
      <w:r w:rsidRPr="00863834">
        <w:rPr>
          <w:rFonts w:ascii="Times New Roman" w:hAnsi="Times New Roman" w:cs="Times New Roman"/>
          <w:i/>
          <w:spacing w:val="1"/>
        </w:rPr>
        <w:t xml:space="preserve"> </w:t>
      </w:r>
      <w:r w:rsidRPr="00863834">
        <w:rPr>
          <w:rFonts w:ascii="Times New Roman" w:hAnsi="Times New Roman" w:cs="Times New Roman"/>
          <w:i/>
        </w:rPr>
        <w:t>на</w:t>
      </w:r>
      <w:r w:rsidRPr="00863834">
        <w:rPr>
          <w:rFonts w:ascii="Times New Roman" w:hAnsi="Times New Roman" w:cs="Times New Roman"/>
          <w:i/>
          <w:spacing w:val="1"/>
        </w:rPr>
        <w:t xml:space="preserve"> </w:t>
      </w:r>
      <w:r w:rsidRPr="00863834">
        <w:rPr>
          <w:rFonts w:ascii="Times New Roman" w:hAnsi="Times New Roman" w:cs="Times New Roman"/>
          <w:i/>
        </w:rPr>
        <w:t>безопасни</w:t>
      </w:r>
      <w:r w:rsidRPr="00863834">
        <w:rPr>
          <w:rFonts w:ascii="Times New Roman" w:hAnsi="Times New Roman" w:cs="Times New Roman"/>
          <w:i/>
          <w:spacing w:val="1"/>
        </w:rPr>
        <w:t xml:space="preserve"> </w:t>
      </w:r>
      <w:r w:rsidRPr="00863834">
        <w:rPr>
          <w:rFonts w:ascii="Times New Roman" w:hAnsi="Times New Roman" w:cs="Times New Roman"/>
          <w:i/>
        </w:rPr>
        <w:t>продукти</w:t>
      </w:r>
      <w:r w:rsidRPr="00863834">
        <w:rPr>
          <w:rFonts w:ascii="Times New Roman" w:hAnsi="Times New Roman" w:cs="Times New Roman"/>
          <w:i/>
          <w:spacing w:val="1"/>
        </w:rPr>
        <w:t xml:space="preserve"> </w:t>
      </w:r>
      <w:r w:rsidRPr="00863834">
        <w:rPr>
          <w:rFonts w:ascii="Times New Roman" w:hAnsi="Times New Roman" w:cs="Times New Roman"/>
          <w:i/>
        </w:rPr>
        <w:t>и</w:t>
      </w:r>
      <w:r w:rsidRPr="00863834">
        <w:rPr>
          <w:rFonts w:ascii="Times New Roman" w:hAnsi="Times New Roman" w:cs="Times New Roman"/>
          <w:i/>
          <w:spacing w:val="1"/>
        </w:rPr>
        <w:t xml:space="preserve"> </w:t>
      </w:r>
      <w:r w:rsidRPr="00863834">
        <w:rPr>
          <w:rFonts w:ascii="Times New Roman" w:hAnsi="Times New Roman" w:cs="Times New Roman"/>
          <w:i/>
        </w:rPr>
        <w:t>нетоксични</w:t>
      </w:r>
      <w:r w:rsidRPr="00863834">
        <w:rPr>
          <w:rFonts w:ascii="Times New Roman" w:hAnsi="Times New Roman" w:cs="Times New Roman"/>
          <w:i/>
          <w:spacing w:val="1"/>
        </w:rPr>
        <w:t xml:space="preserve"> </w:t>
      </w:r>
      <w:r w:rsidRPr="00863834">
        <w:rPr>
          <w:rFonts w:ascii="Times New Roman" w:hAnsi="Times New Roman" w:cs="Times New Roman"/>
          <w:i/>
        </w:rPr>
        <w:t>цикли</w:t>
      </w:r>
      <w:r w:rsidRPr="00863834">
        <w:rPr>
          <w:rFonts w:ascii="Times New Roman" w:hAnsi="Times New Roman" w:cs="Times New Roman"/>
          <w:i/>
          <w:spacing w:val="1"/>
        </w:rPr>
        <w:t xml:space="preserve"> </w:t>
      </w:r>
      <w:r w:rsidRPr="00863834">
        <w:rPr>
          <w:rFonts w:ascii="Times New Roman" w:hAnsi="Times New Roman" w:cs="Times New Roman"/>
          <w:i/>
        </w:rPr>
        <w:t>на</w:t>
      </w:r>
      <w:r w:rsidRPr="00863834">
        <w:rPr>
          <w:rFonts w:ascii="Times New Roman" w:hAnsi="Times New Roman" w:cs="Times New Roman"/>
          <w:i/>
          <w:spacing w:val="1"/>
        </w:rPr>
        <w:t xml:space="preserve"> </w:t>
      </w:r>
      <w:r w:rsidRPr="00863834">
        <w:rPr>
          <w:rFonts w:ascii="Times New Roman" w:hAnsi="Times New Roman" w:cs="Times New Roman"/>
          <w:i/>
        </w:rPr>
        <w:t>материалите</w:t>
      </w:r>
    </w:p>
    <w:p w14:paraId="794C77FF" w14:textId="77777777" w:rsidR="004D2AC4" w:rsidRPr="00863834" w:rsidRDefault="004D2AC4" w:rsidP="00863834">
      <w:pPr>
        <w:pStyle w:val="ListParagraph"/>
        <w:widowControl w:val="0"/>
        <w:numPr>
          <w:ilvl w:val="3"/>
          <w:numId w:val="38"/>
        </w:numPr>
        <w:tabs>
          <w:tab w:val="left" w:pos="2552"/>
        </w:tabs>
        <w:autoSpaceDE w:val="0"/>
        <w:autoSpaceDN w:val="0"/>
        <w:spacing w:before="120" w:after="120" w:line="264" w:lineRule="auto"/>
        <w:ind w:left="426" w:hanging="425"/>
        <w:jc w:val="both"/>
        <w:rPr>
          <w:rFonts w:ascii="Times New Roman" w:hAnsi="Times New Roman" w:cs="Times New Roman"/>
          <w:i/>
        </w:rPr>
      </w:pPr>
      <w:r w:rsidRPr="00863834">
        <w:rPr>
          <w:rFonts w:ascii="Times New Roman" w:hAnsi="Times New Roman" w:cs="Times New Roman"/>
          <w:i/>
        </w:rPr>
        <w:t>Екологизиране</w:t>
      </w:r>
      <w:r w:rsidRPr="00863834">
        <w:rPr>
          <w:rFonts w:ascii="Times New Roman" w:hAnsi="Times New Roman" w:cs="Times New Roman"/>
          <w:i/>
          <w:spacing w:val="-2"/>
        </w:rPr>
        <w:t xml:space="preserve"> </w:t>
      </w:r>
      <w:r w:rsidRPr="00863834">
        <w:rPr>
          <w:rFonts w:ascii="Times New Roman" w:hAnsi="Times New Roman" w:cs="Times New Roman"/>
          <w:i/>
        </w:rPr>
        <w:t>и</w:t>
      </w:r>
      <w:r w:rsidRPr="00863834">
        <w:rPr>
          <w:rFonts w:ascii="Times New Roman" w:hAnsi="Times New Roman" w:cs="Times New Roman"/>
          <w:i/>
          <w:spacing w:val="-1"/>
        </w:rPr>
        <w:t xml:space="preserve"> </w:t>
      </w:r>
      <w:r w:rsidRPr="00863834">
        <w:rPr>
          <w:rFonts w:ascii="Times New Roman" w:hAnsi="Times New Roman" w:cs="Times New Roman"/>
          <w:i/>
        </w:rPr>
        <w:t>цифровизиране</w:t>
      </w:r>
      <w:r w:rsidRPr="00863834">
        <w:rPr>
          <w:rFonts w:ascii="Times New Roman" w:hAnsi="Times New Roman" w:cs="Times New Roman"/>
          <w:i/>
          <w:spacing w:val="-2"/>
        </w:rPr>
        <w:t xml:space="preserve"> </w:t>
      </w:r>
      <w:r w:rsidRPr="00863834">
        <w:rPr>
          <w:rFonts w:ascii="Times New Roman" w:hAnsi="Times New Roman" w:cs="Times New Roman"/>
          <w:i/>
        </w:rPr>
        <w:t>на производството</w:t>
      </w:r>
      <w:r w:rsidRPr="00863834">
        <w:rPr>
          <w:rFonts w:ascii="Times New Roman" w:hAnsi="Times New Roman" w:cs="Times New Roman"/>
          <w:i/>
          <w:spacing w:val="-1"/>
        </w:rPr>
        <w:t xml:space="preserve"> </w:t>
      </w:r>
      <w:r w:rsidRPr="00863834">
        <w:rPr>
          <w:rFonts w:ascii="Times New Roman" w:hAnsi="Times New Roman" w:cs="Times New Roman"/>
          <w:i/>
        </w:rPr>
        <w:t>на</w:t>
      </w:r>
      <w:r w:rsidRPr="00863834">
        <w:rPr>
          <w:rFonts w:ascii="Times New Roman" w:hAnsi="Times New Roman" w:cs="Times New Roman"/>
          <w:i/>
          <w:spacing w:val="-2"/>
        </w:rPr>
        <w:t xml:space="preserve"> </w:t>
      </w:r>
      <w:r w:rsidRPr="00863834">
        <w:rPr>
          <w:rFonts w:ascii="Times New Roman" w:hAnsi="Times New Roman" w:cs="Times New Roman"/>
          <w:i/>
        </w:rPr>
        <w:t>химикали</w:t>
      </w:r>
    </w:p>
    <w:p w14:paraId="7F4E1A73" w14:textId="77777777" w:rsidR="004D2AC4" w:rsidRPr="00863834" w:rsidRDefault="004D2AC4" w:rsidP="00863834">
      <w:pPr>
        <w:pStyle w:val="ListParagraph"/>
        <w:widowControl w:val="0"/>
        <w:numPr>
          <w:ilvl w:val="3"/>
          <w:numId w:val="38"/>
        </w:numPr>
        <w:tabs>
          <w:tab w:val="left" w:pos="2552"/>
        </w:tabs>
        <w:autoSpaceDE w:val="0"/>
        <w:autoSpaceDN w:val="0"/>
        <w:spacing w:before="120" w:after="120" w:line="264" w:lineRule="auto"/>
        <w:ind w:left="426" w:hanging="425"/>
        <w:jc w:val="both"/>
        <w:rPr>
          <w:rFonts w:ascii="Times New Roman" w:hAnsi="Times New Roman" w:cs="Times New Roman"/>
          <w:i/>
        </w:rPr>
      </w:pPr>
      <w:r w:rsidRPr="00863834">
        <w:rPr>
          <w:rFonts w:ascii="Times New Roman" w:hAnsi="Times New Roman" w:cs="Times New Roman"/>
          <w:i/>
        </w:rPr>
        <w:t>Укрепване</w:t>
      </w:r>
      <w:r w:rsidRPr="00863834">
        <w:rPr>
          <w:rFonts w:ascii="Times New Roman" w:hAnsi="Times New Roman" w:cs="Times New Roman"/>
          <w:i/>
          <w:spacing w:val="-3"/>
        </w:rPr>
        <w:t xml:space="preserve"> </w:t>
      </w:r>
      <w:r w:rsidRPr="00863834">
        <w:rPr>
          <w:rFonts w:ascii="Times New Roman" w:hAnsi="Times New Roman" w:cs="Times New Roman"/>
          <w:i/>
        </w:rPr>
        <w:t>на</w:t>
      </w:r>
      <w:r w:rsidRPr="00863834">
        <w:rPr>
          <w:rFonts w:ascii="Times New Roman" w:hAnsi="Times New Roman" w:cs="Times New Roman"/>
          <w:i/>
          <w:spacing w:val="-2"/>
        </w:rPr>
        <w:t xml:space="preserve"> </w:t>
      </w:r>
      <w:r w:rsidRPr="00863834">
        <w:rPr>
          <w:rFonts w:ascii="Times New Roman" w:hAnsi="Times New Roman" w:cs="Times New Roman"/>
          <w:i/>
        </w:rPr>
        <w:t>отворената</w:t>
      </w:r>
      <w:r w:rsidRPr="00863834">
        <w:rPr>
          <w:rFonts w:ascii="Times New Roman" w:hAnsi="Times New Roman" w:cs="Times New Roman"/>
          <w:i/>
          <w:spacing w:val="-2"/>
        </w:rPr>
        <w:t xml:space="preserve"> </w:t>
      </w:r>
      <w:r w:rsidRPr="00863834">
        <w:rPr>
          <w:rFonts w:ascii="Times New Roman" w:hAnsi="Times New Roman" w:cs="Times New Roman"/>
          <w:i/>
        </w:rPr>
        <w:t>стратегическа</w:t>
      </w:r>
      <w:r w:rsidRPr="00863834">
        <w:rPr>
          <w:rFonts w:ascii="Times New Roman" w:hAnsi="Times New Roman" w:cs="Times New Roman"/>
          <w:i/>
          <w:spacing w:val="-2"/>
        </w:rPr>
        <w:t xml:space="preserve"> </w:t>
      </w:r>
      <w:r w:rsidRPr="00863834">
        <w:rPr>
          <w:rFonts w:ascii="Times New Roman" w:hAnsi="Times New Roman" w:cs="Times New Roman"/>
          <w:i/>
        </w:rPr>
        <w:t>автономност</w:t>
      </w:r>
      <w:r w:rsidRPr="00863834">
        <w:rPr>
          <w:rFonts w:ascii="Times New Roman" w:hAnsi="Times New Roman" w:cs="Times New Roman"/>
          <w:i/>
          <w:spacing w:val="-2"/>
        </w:rPr>
        <w:t xml:space="preserve"> </w:t>
      </w:r>
      <w:r w:rsidRPr="00863834">
        <w:rPr>
          <w:rFonts w:ascii="Times New Roman" w:hAnsi="Times New Roman" w:cs="Times New Roman"/>
          <w:i/>
        </w:rPr>
        <w:t>на</w:t>
      </w:r>
      <w:r w:rsidRPr="00863834">
        <w:rPr>
          <w:rFonts w:ascii="Times New Roman" w:hAnsi="Times New Roman" w:cs="Times New Roman"/>
          <w:i/>
          <w:spacing w:val="-3"/>
        </w:rPr>
        <w:t xml:space="preserve"> </w:t>
      </w:r>
      <w:r w:rsidRPr="00863834">
        <w:rPr>
          <w:rFonts w:ascii="Times New Roman" w:hAnsi="Times New Roman" w:cs="Times New Roman"/>
          <w:i/>
        </w:rPr>
        <w:t>ЕС</w:t>
      </w:r>
    </w:p>
    <w:p w14:paraId="6A9F7DD3" w14:textId="695E6D93" w:rsidR="001577E0" w:rsidRPr="00863834" w:rsidRDefault="002302B2" w:rsidP="00863834">
      <w:pPr>
        <w:spacing w:before="120" w:after="120" w:line="264" w:lineRule="auto"/>
        <w:jc w:val="both"/>
        <w:rPr>
          <w:rFonts w:ascii="Times New Roman" w:hAnsi="Times New Roman" w:cs="Times New Roman"/>
          <w:lang w:val="bg-BG"/>
        </w:rPr>
      </w:pPr>
      <w:r w:rsidRPr="00863834">
        <w:rPr>
          <w:rFonts w:ascii="Times New Roman" w:hAnsi="Times New Roman" w:cs="Times New Roman"/>
          <w:b/>
          <w:lang w:val="bg-BG"/>
        </w:rPr>
        <w:t>Друг приоритет е да се изгради п</w:t>
      </w:r>
      <w:r w:rsidR="001577E0" w:rsidRPr="00863834">
        <w:rPr>
          <w:rFonts w:ascii="Times New Roman" w:hAnsi="Times New Roman" w:cs="Times New Roman"/>
          <w:b/>
          <w:lang w:val="bg-BG"/>
        </w:rPr>
        <w:t>о-силна правна рамка на ЕС за справяне с неотложните проблеми,</w:t>
      </w:r>
      <w:r w:rsidR="001577E0" w:rsidRPr="00863834">
        <w:rPr>
          <w:rFonts w:ascii="Times New Roman" w:hAnsi="Times New Roman" w:cs="Times New Roman"/>
          <w:b/>
          <w:spacing w:val="1"/>
          <w:lang w:val="bg-BG"/>
        </w:rPr>
        <w:t xml:space="preserve"> </w:t>
      </w:r>
      <w:r w:rsidR="001577E0" w:rsidRPr="00863834">
        <w:rPr>
          <w:rFonts w:ascii="Times New Roman" w:hAnsi="Times New Roman" w:cs="Times New Roman"/>
          <w:b/>
          <w:lang w:val="bg-BG"/>
        </w:rPr>
        <w:t>свързани с</w:t>
      </w:r>
      <w:r w:rsidR="001577E0" w:rsidRPr="00863834">
        <w:rPr>
          <w:rFonts w:ascii="Times New Roman" w:hAnsi="Times New Roman" w:cs="Times New Roman"/>
          <w:b/>
          <w:spacing w:val="-1"/>
          <w:lang w:val="bg-BG"/>
        </w:rPr>
        <w:t xml:space="preserve"> </w:t>
      </w:r>
      <w:r w:rsidR="001577E0" w:rsidRPr="00863834">
        <w:rPr>
          <w:rFonts w:ascii="Times New Roman" w:hAnsi="Times New Roman" w:cs="Times New Roman"/>
          <w:b/>
          <w:lang w:val="bg-BG"/>
        </w:rPr>
        <w:t>околната среда и здравето</w:t>
      </w:r>
      <w:r w:rsidR="00083D66" w:rsidRPr="00863834">
        <w:rPr>
          <w:rFonts w:ascii="Times New Roman" w:hAnsi="Times New Roman" w:cs="Times New Roman"/>
          <w:b/>
          <w:lang w:val="bg-BG"/>
        </w:rPr>
        <w:t xml:space="preserve">. </w:t>
      </w:r>
      <w:r w:rsidR="001577E0" w:rsidRPr="00863834">
        <w:rPr>
          <w:rFonts w:ascii="Times New Roman" w:hAnsi="Times New Roman" w:cs="Times New Roman"/>
          <w:lang w:val="bg-BG"/>
        </w:rPr>
        <w:t>Въпреки че подходът на ЕС към управлението на химикалите позвол</w:t>
      </w:r>
      <w:r w:rsidRPr="00863834">
        <w:rPr>
          <w:rFonts w:ascii="Times New Roman" w:hAnsi="Times New Roman" w:cs="Times New Roman"/>
          <w:lang w:val="bg-BG"/>
        </w:rPr>
        <w:t xml:space="preserve">ява </w:t>
      </w:r>
      <w:r w:rsidR="001577E0" w:rsidRPr="00863834">
        <w:rPr>
          <w:rFonts w:ascii="Times New Roman" w:hAnsi="Times New Roman" w:cs="Times New Roman"/>
          <w:lang w:val="bg-BG"/>
        </w:rPr>
        <w:t xml:space="preserve">да се намали експозицията на хората и околната среда на определени проблемни вещества, текущите и възникващите опасения за здравето и околната среда изискват укрепване на правната рамка, за да се реагира бързо на научните открития, като тя стане по- последователна, опростена и предвидима за всички участници. </w:t>
      </w:r>
      <w:r w:rsidR="009520F0" w:rsidRPr="00863834">
        <w:rPr>
          <w:rFonts w:ascii="Times New Roman" w:hAnsi="Times New Roman" w:cs="Times New Roman"/>
          <w:lang w:val="bg-BG"/>
        </w:rPr>
        <w:t>К</w:t>
      </w:r>
      <w:r w:rsidR="001577E0" w:rsidRPr="00863834">
        <w:rPr>
          <w:rFonts w:ascii="Times New Roman" w:hAnsi="Times New Roman" w:cs="Times New Roman"/>
          <w:lang w:val="bg-BG"/>
        </w:rPr>
        <w:t>ато основ</w:t>
      </w:r>
      <w:r w:rsidR="00083D66" w:rsidRPr="00863834">
        <w:rPr>
          <w:rFonts w:ascii="Times New Roman" w:hAnsi="Times New Roman" w:cs="Times New Roman"/>
          <w:lang w:val="bg-BG"/>
        </w:rPr>
        <w:t>а</w:t>
      </w:r>
      <w:r w:rsidR="001577E0" w:rsidRPr="00863834">
        <w:rPr>
          <w:rFonts w:ascii="Times New Roman" w:hAnsi="Times New Roman" w:cs="Times New Roman"/>
          <w:lang w:val="bg-BG"/>
        </w:rPr>
        <w:t xml:space="preserve"> за регулиране на химикалите, Регламентът REACH и Регламентът CLP </w:t>
      </w:r>
      <w:r w:rsidR="00083D66" w:rsidRPr="00863834">
        <w:rPr>
          <w:rFonts w:ascii="Times New Roman" w:hAnsi="Times New Roman" w:cs="Times New Roman"/>
          <w:lang w:val="bg-BG"/>
        </w:rPr>
        <w:t xml:space="preserve">се очаква </w:t>
      </w:r>
      <w:r w:rsidR="001577E0" w:rsidRPr="00863834">
        <w:rPr>
          <w:rFonts w:ascii="Times New Roman" w:hAnsi="Times New Roman" w:cs="Times New Roman"/>
          <w:lang w:val="bg-BG"/>
        </w:rPr>
        <w:t>да бъдат допълнени с последователни подходи за оценка на управлението на химикали в съществуващото секторно законодателство, по- специално законодателството, което регламентира потребителските продукти</w:t>
      </w:r>
      <w:r w:rsidR="00083D66" w:rsidRPr="00863834">
        <w:rPr>
          <w:rFonts w:ascii="Times New Roman" w:hAnsi="Times New Roman" w:cs="Times New Roman"/>
          <w:lang w:val="bg-BG"/>
        </w:rPr>
        <w:t>:</w:t>
      </w:r>
    </w:p>
    <w:p w14:paraId="3B58EDEC" w14:textId="77777777" w:rsidR="001577E0" w:rsidRPr="00863834" w:rsidRDefault="001577E0" w:rsidP="00863834">
      <w:pPr>
        <w:pStyle w:val="ListParagraph"/>
        <w:widowControl w:val="0"/>
        <w:numPr>
          <w:ilvl w:val="0"/>
          <w:numId w:val="39"/>
        </w:numPr>
        <w:tabs>
          <w:tab w:val="left" w:pos="2903"/>
        </w:tabs>
        <w:autoSpaceDE w:val="0"/>
        <w:autoSpaceDN w:val="0"/>
        <w:spacing w:before="120" w:after="120" w:line="264" w:lineRule="auto"/>
        <w:ind w:right="46"/>
        <w:jc w:val="both"/>
        <w:rPr>
          <w:rFonts w:ascii="Times New Roman" w:hAnsi="Times New Roman" w:cs="Times New Roman"/>
          <w:i/>
        </w:rPr>
      </w:pPr>
      <w:r w:rsidRPr="00863834">
        <w:rPr>
          <w:rFonts w:ascii="Times New Roman" w:hAnsi="Times New Roman" w:cs="Times New Roman"/>
          <w:i/>
        </w:rPr>
        <w:t>Защита на потребителите, уязвимите групи и работниците от</w:t>
      </w:r>
      <w:r w:rsidRPr="00863834">
        <w:rPr>
          <w:rFonts w:ascii="Times New Roman" w:hAnsi="Times New Roman" w:cs="Times New Roman"/>
          <w:i/>
          <w:spacing w:val="1"/>
        </w:rPr>
        <w:t xml:space="preserve"> </w:t>
      </w:r>
      <w:r w:rsidRPr="00863834">
        <w:rPr>
          <w:rFonts w:ascii="Times New Roman" w:hAnsi="Times New Roman" w:cs="Times New Roman"/>
          <w:i/>
        </w:rPr>
        <w:t>най-вредните</w:t>
      </w:r>
      <w:r w:rsidRPr="00863834">
        <w:rPr>
          <w:rFonts w:ascii="Times New Roman" w:hAnsi="Times New Roman" w:cs="Times New Roman"/>
          <w:i/>
          <w:spacing w:val="-3"/>
        </w:rPr>
        <w:t xml:space="preserve"> </w:t>
      </w:r>
      <w:r w:rsidRPr="00863834">
        <w:rPr>
          <w:rFonts w:ascii="Times New Roman" w:hAnsi="Times New Roman" w:cs="Times New Roman"/>
          <w:i/>
        </w:rPr>
        <w:t>химикали</w:t>
      </w:r>
    </w:p>
    <w:p w14:paraId="7619190D" w14:textId="77777777" w:rsidR="001577E0" w:rsidRPr="00863834" w:rsidRDefault="001577E0" w:rsidP="00863834">
      <w:pPr>
        <w:pStyle w:val="ListParagraph"/>
        <w:widowControl w:val="0"/>
        <w:numPr>
          <w:ilvl w:val="0"/>
          <w:numId w:val="39"/>
        </w:numPr>
        <w:tabs>
          <w:tab w:val="left" w:pos="2903"/>
        </w:tabs>
        <w:autoSpaceDE w:val="0"/>
        <w:autoSpaceDN w:val="0"/>
        <w:spacing w:before="120" w:after="120" w:line="264" w:lineRule="auto"/>
        <w:ind w:right="46"/>
        <w:jc w:val="both"/>
        <w:rPr>
          <w:rFonts w:ascii="Times New Roman" w:hAnsi="Times New Roman" w:cs="Times New Roman"/>
          <w:i/>
        </w:rPr>
      </w:pPr>
      <w:r w:rsidRPr="00863834">
        <w:rPr>
          <w:rFonts w:ascii="Times New Roman" w:hAnsi="Times New Roman" w:cs="Times New Roman"/>
          <w:i/>
        </w:rPr>
        <w:t>Защита</w:t>
      </w:r>
      <w:r w:rsidRPr="00863834">
        <w:rPr>
          <w:rFonts w:ascii="Times New Roman" w:hAnsi="Times New Roman" w:cs="Times New Roman"/>
          <w:i/>
          <w:spacing w:val="1"/>
        </w:rPr>
        <w:t xml:space="preserve"> </w:t>
      </w:r>
      <w:r w:rsidRPr="00863834">
        <w:rPr>
          <w:rFonts w:ascii="Times New Roman" w:hAnsi="Times New Roman" w:cs="Times New Roman"/>
          <w:i/>
        </w:rPr>
        <w:t>на</w:t>
      </w:r>
      <w:r w:rsidRPr="00863834">
        <w:rPr>
          <w:rFonts w:ascii="Times New Roman" w:hAnsi="Times New Roman" w:cs="Times New Roman"/>
          <w:i/>
          <w:spacing w:val="1"/>
        </w:rPr>
        <w:t xml:space="preserve"> </w:t>
      </w:r>
      <w:r w:rsidRPr="00863834">
        <w:rPr>
          <w:rFonts w:ascii="Times New Roman" w:hAnsi="Times New Roman" w:cs="Times New Roman"/>
          <w:i/>
        </w:rPr>
        <w:t>хората</w:t>
      </w:r>
      <w:r w:rsidRPr="00863834">
        <w:rPr>
          <w:rFonts w:ascii="Times New Roman" w:hAnsi="Times New Roman" w:cs="Times New Roman"/>
          <w:i/>
          <w:spacing w:val="1"/>
        </w:rPr>
        <w:t xml:space="preserve"> </w:t>
      </w:r>
      <w:r w:rsidRPr="00863834">
        <w:rPr>
          <w:rFonts w:ascii="Times New Roman" w:hAnsi="Times New Roman" w:cs="Times New Roman"/>
          <w:i/>
        </w:rPr>
        <w:t>и</w:t>
      </w:r>
      <w:r w:rsidRPr="00863834">
        <w:rPr>
          <w:rFonts w:ascii="Times New Roman" w:hAnsi="Times New Roman" w:cs="Times New Roman"/>
          <w:i/>
          <w:spacing w:val="1"/>
        </w:rPr>
        <w:t xml:space="preserve"> </w:t>
      </w:r>
      <w:r w:rsidRPr="00863834">
        <w:rPr>
          <w:rFonts w:ascii="Times New Roman" w:hAnsi="Times New Roman" w:cs="Times New Roman"/>
          <w:i/>
        </w:rPr>
        <w:t>околната</w:t>
      </w:r>
      <w:r w:rsidRPr="00863834">
        <w:rPr>
          <w:rFonts w:ascii="Times New Roman" w:hAnsi="Times New Roman" w:cs="Times New Roman"/>
          <w:i/>
          <w:spacing w:val="1"/>
        </w:rPr>
        <w:t xml:space="preserve"> </w:t>
      </w:r>
      <w:r w:rsidRPr="00863834">
        <w:rPr>
          <w:rFonts w:ascii="Times New Roman" w:hAnsi="Times New Roman" w:cs="Times New Roman"/>
          <w:i/>
        </w:rPr>
        <w:t>среда</w:t>
      </w:r>
      <w:r w:rsidRPr="00863834">
        <w:rPr>
          <w:rFonts w:ascii="Times New Roman" w:hAnsi="Times New Roman" w:cs="Times New Roman"/>
          <w:i/>
          <w:spacing w:val="1"/>
        </w:rPr>
        <w:t xml:space="preserve"> </w:t>
      </w:r>
      <w:r w:rsidRPr="00863834">
        <w:rPr>
          <w:rFonts w:ascii="Times New Roman" w:hAnsi="Times New Roman" w:cs="Times New Roman"/>
          <w:i/>
        </w:rPr>
        <w:t>от</w:t>
      </w:r>
      <w:r w:rsidRPr="00863834">
        <w:rPr>
          <w:rFonts w:ascii="Times New Roman" w:hAnsi="Times New Roman" w:cs="Times New Roman"/>
          <w:i/>
          <w:spacing w:val="1"/>
        </w:rPr>
        <w:t xml:space="preserve"> </w:t>
      </w:r>
      <w:r w:rsidRPr="00863834">
        <w:rPr>
          <w:rFonts w:ascii="Times New Roman" w:hAnsi="Times New Roman" w:cs="Times New Roman"/>
          <w:i/>
        </w:rPr>
        <w:t>комбинираното</w:t>
      </w:r>
      <w:r w:rsidRPr="00863834">
        <w:rPr>
          <w:rFonts w:ascii="Times New Roman" w:hAnsi="Times New Roman" w:cs="Times New Roman"/>
          <w:i/>
          <w:spacing w:val="1"/>
        </w:rPr>
        <w:t xml:space="preserve"> </w:t>
      </w:r>
      <w:r w:rsidRPr="00863834">
        <w:rPr>
          <w:rFonts w:ascii="Times New Roman" w:hAnsi="Times New Roman" w:cs="Times New Roman"/>
          <w:i/>
        </w:rPr>
        <w:t>въздействие</w:t>
      </w:r>
      <w:r w:rsidRPr="00863834">
        <w:rPr>
          <w:rFonts w:ascii="Times New Roman" w:hAnsi="Times New Roman" w:cs="Times New Roman"/>
          <w:i/>
          <w:spacing w:val="-2"/>
        </w:rPr>
        <w:t xml:space="preserve"> </w:t>
      </w:r>
      <w:r w:rsidRPr="00863834">
        <w:rPr>
          <w:rFonts w:ascii="Times New Roman" w:hAnsi="Times New Roman" w:cs="Times New Roman"/>
          <w:i/>
        </w:rPr>
        <w:t>на химикалите</w:t>
      </w:r>
    </w:p>
    <w:p w14:paraId="6C77053F" w14:textId="77777777" w:rsidR="00FD1C67" w:rsidRPr="00863834" w:rsidRDefault="00FD1C67" w:rsidP="00863834">
      <w:pPr>
        <w:pStyle w:val="ListParagraph"/>
        <w:widowControl w:val="0"/>
        <w:numPr>
          <w:ilvl w:val="0"/>
          <w:numId w:val="39"/>
        </w:numPr>
        <w:tabs>
          <w:tab w:val="left" w:pos="2903"/>
        </w:tabs>
        <w:autoSpaceDE w:val="0"/>
        <w:autoSpaceDN w:val="0"/>
        <w:spacing w:before="120" w:after="120" w:line="264" w:lineRule="auto"/>
        <w:jc w:val="both"/>
        <w:rPr>
          <w:rFonts w:ascii="Times New Roman" w:hAnsi="Times New Roman" w:cs="Times New Roman"/>
          <w:i/>
        </w:rPr>
      </w:pPr>
      <w:r w:rsidRPr="00863834">
        <w:rPr>
          <w:rFonts w:ascii="Times New Roman" w:hAnsi="Times New Roman" w:cs="Times New Roman"/>
          <w:i/>
        </w:rPr>
        <w:t>Към</w:t>
      </w:r>
      <w:r w:rsidRPr="00863834">
        <w:rPr>
          <w:rFonts w:ascii="Times New Roman" w:hAnsi="Times New Roman" w:cs="Times New Roman"/>
          <w:i/>
          <w:spacing w:val="-3"/>
        </w:rPr>
        <w:t xml:space="preserve"> </w:t>
      </w:r>
      <w:r w:rsidRPr="00863834">
        <w:rPr>
          <w:rFonts w:ascii="Times New Roman" w:hAnsi="Times New Roman" w:cs="Times New Roman"/>
          <w:i/>
        </w:rPr>
        <w:t>нулево</w:t>
      </w:r>
      <w:r w:rsidRPr="00863834">
        <w:rPr>
          <w:rFonts w:ascii="Times New Roman" w:hAnsi="Times New Roman" w:cs="Times New Roman"/>
          <w:i/>
          <w:spacing w:val="-1"/>
        </w:rPr>
        <w:t xml:space="preserve"> </w:t>
      </w:r>
      <w:r w:rsidRPr="00863834">
        <w:rPr>
          <w:rFonts w:ascii="Times New Roman" w:hAnsi="Times New Roman" w:cs="Times New Roman"/>
          <w:i/>
        </w:rPr>
        <w:t>химическо</w:t>
      </w:r>
      <w:r w:rsidRPr="00863834">
        <w:rPr>
          <w:rFonts w:ascii="Times New Roman" w:hAnsi="Times New Roman" w:cs="Times New Roman"/>
          <w:i/>
          <w:spacing w:val="-2"/>
        </w:rPr>
        <w:t xml:space="preserve"> </w:t>
      </w:r>
      <w:r w:rsidRPr="00863834">
        <w:rPr>
          <w:rFonts w:ascii="Times New Roman" w:hAnsi="Times New Roman" w:cs="Times New Roman"/>
          <w:i/>
        </w:rPr>
        <w:t>замърсяване</w:t>
      </w:r>
      <w:r w:rsidRPr="00863834">
        <w:rPr>
          <w:rFonts w:ascii="Times New Roman" w:hAnsi="Times New Roman" w:cs="Times New Roman"/>
          <w:i/>
          <w:spacing w:val="-2"/>
        </w:rPr>
        <w:t xml:space="preserve"> </w:t>
      </w:r>
      <w:r w:rsidRPr="00863834">
        <w:rPr>
          <w:rFonts w:ascii="Times New Roman" w:hAnsi="Times New Roman" w:cs="Times New Roman"/>
          <w:i/>
        </w:rPr>
        <w:t>на</w:t>
      </w:r>
      <w:r w:rsidRPr="00863834">
        <w:rPr>
          <w:rFonts w:ascii="Times New Roman" w:hAnsi="Times New Roman" w:cs="Times New Roman"/>
          <w:i/>
          <w:spacing w:val="-1"/>
        </w:rPr>
        <w:t xml:space="preserve"> </w:t>
      </w:r>
      <w:r w:rsidRPr="00863834">
        <w:rPr>
          <w:rFonts w:ascii="Times New Roman" w:hAnsi="Times New Roman" w:cs="Times New Roman"/>
          <w:i/>
        </w:rPr>
        <w:t>околната</w:t>
      </w:r>
      <w:r w:rsidRPr="00863834">
        <w:rPr>
          <w:rFonts w:ascii="Times New Roman" w:hAnsi="Times New Roman" w:cs="Times New Roman"/>
          <w:i/>
          <w:spacing w:val="-2"/>
        </w:rPr>
        <w:t xml:space="preserve"> </w:t>
      </w:r>
      <w:r w:rsidRPr="00863834">
        <w:rPr>
          <w:rFonts w:ascii="Times New Roman" w:hAnsi="Times New Roman" w:cs="Times New Roman"/>
          <w:i/>
        </w:rPr>
        <w:t>среда</w:t>
      </w:r>
    </w:p>
    <w:p w14:paraId="08960EFC" w14:textId="665D7564" w:rsidR="00FD1C67" w:rsidRPr="00863834" w:rsidRDefault="00FD1C67" w:rsidP="00863834">
      <w:pPr>
        <w:spacing w:before="120" w:after="120" w:line="264" w:lineRule="auto"/>
        <w:jc w:val="both"/>
        <w:rPr>
          <w:rFonts w:ascii="Times New Roman" w:hAnsi="Times New Roman" w:cs="Times New Roman"/>
          <w:lang w:val="bg-BG"/>
        </w:rPr>
      </w:pPr>
      <w:r w:rsidRPr="00863834">
        <w:rPr>
          <w:rFonts w:ascii="Times New Roman" w:hAnsi="Times New Roman" w:cs="Times New Roman"/>
          <w:b/>
          <w:lang w:val="bg-BG"/>
        </w:rPr>
        <w:t>Опростяване</w:t>
      </w:r>
      <w:r w:rsidRPr="00863834">
        <w:rPr>
          <w:rFonts w:ascii="Times New Roman" w:hAnsi="Times New Roman" w:cs="Times New Roman"/>
          <w:b/>
          <w:spacing w:val="-4"/>
          <w:lang w:val="bg-BG"/>
        </w:rPr>
        <w:t xml:space="preserve"> </w:t>
      </w:r>
      <w:r w:rsidRPr="00863834">
        <w:rPr>
          <w:rFonts w:ascii="Times New Roman" w:hAnsi="Times New Roman" w:cs="Times New Roman"/>
          <w:b/>
          <w:lang w:val="bg-BG"/>
        </w:rPr>
        <w:t>и</w:t>
      </w:r>
      <w:r w:rsidRPr="00863834">
        <w:rPr>
          <w:rFonts w:ascii="Times New Roman" w:hAnsi="Times New Roman" w:cs="Times New Roman"/>
          <w:b/>
          <w:spacing w:val="-2"/>
          <w:lang w:val="bg-BG"/>
        </w:rPr>
        <w:t xml:space="preserve"> </w:t>
      </w:r>
      <w:r w:rsidRPr="00863834">
        <w:rPr>
          <w:rFonts w:ascii="Times New Roman" w:hAnsi="Times New Roman" w:cs="Times New Roman"/>
          <w:b/>
          <w:lang w:val="bg-BG"/>
        </w:rPr>
        <w:t>консолидиране</w:t>
      </w:r>
      <w:r w:rsidRPr="00863834">
        <w:rPr>
          <w:rFonts w:ascii="Times New Roman" w:hAnsi="Times New Roman" w:cs="Times New Roman"/>
          <w:b/>
          <w:spacing w:val="-4"/>
          <w:lang w:val="bg-BG"/>
        </w:rPr>
        <w:t xml:space="preserve"> </w:t>
      </w:r>
      <w:r w:rsidRPr="00863834">
        <w:rPr>
          <w:rFonts w:ascii="Times New Roman" w:hAnsi="Times New Roman" w:cs="Times New Roman"/>
          <w:b/>
          <w:lang w:val="bg-BG"/>
        </w:rPr>
        <w:t>на</w:t>
      </w:r>
      <w:r w:rsidRPr="00863834">
        <w:rPr>
          <w:rFonts w:ascii="Times New Roman" w:hAnsi="Times New Roman" w:cs="Times New Roman"/>
          <w:b/>
          <w:spacing w:val="-2"/>
          <w:lang w:val="bg-BG"/>
        </w:rPr>
        <w:t xml:space="preserve"> </w:t>
      </w:r>
      <w:r w:rsidRPr="00863834">
        <w:rPr>
          <w:rFonts w:ascii="Times New Roman" w:hAnsi="Times New Roman" w:cs="Times New Roman"/>
          <w:b/>
          <w:lang w:val="bg-BG"/>
        </w:rPr>
        <w:t>правната</w:t>
      </w:r>
      <w:r w:rsidRPr="00863834">
        <w:rPr>
          <w:rFonts w:ascii="Times New Roman" w:hAnsi="Times New Roman" w:cs="Times New Roman"/>
          <w:b/>
          <w:spacing w:val="-5"/>
          <w:lang w:val="bg-BG"/>
        </w:rPr>
        <w:t xml:space="preserve"> </w:t>
      </w:r>
      <w:r w:rsidRPr="00863834">
        <w:rPr>
          <w:rFonts w:ascii="Times New Roman" w:hAnsi="Times New Roman" w:cs="Times New Roman"/>
          <w:b/>
          <w:lang w:val="bg-BG"/>
        </w:rPr>
        <w:t>рамка</w:t>
      </w:r>
      <w:r w:rsidR="00083D66" w:rsidRPr="00863834">
        <w:rPr>
          <w:rFonts w:ascii="Times New Roman" w:hAnsi="Times New Roman" w:cs="Times New Roman"/>
          <w:b/>
          <w:lang w:val="bg-BG"/>
        </w:rPr>
        <w:t xml:space="preserve">. </w:t>
      </w:r>
      <w:r w:rsidRPr="00863834">
        <w:rPr>
          <w:rFonts w:ascii="Times New Roman" w:hAnsi="Times New Roman" w:cs="Times New Roman"/>
          <w:lang w:val="bg-BG"/>
        </w:rPr>
        <w:t xml:space="preserve">Регулаторната рамка на ЕС за оценка на опасностите и риска и за управление на химикалите е всеобхватна и сложна. Като цяло законодателството на ЕС в областта на химикалите дава съответните резултати и постига заложените в него цели. Въпреки това редица съществени слабости пречат на законодателството на ЕС в областта на химикалите отново да реализира пълния си потенциал. Ако не се намери бързо решение, рамката ще среща трудности за навременно и ефикасно справяне с настоящото и бъдещото производство и употреба на химикали. </w:t>
      </w:r>
      <w:r w:rsidR="00083D66" w:rsidRPr="00863834">
        <w:rPr>
          <w:rFonts w:ascii="Times New Roman" w:hAnsi="Times New Roman" w:cs="Times New Roman"/>
          <w:lang w:val="bg-BG"/>
        </w:rPr>
        <w:t>Включените елементи са:</w:t>
      </w:r>
    </w:p>
    <w:p w14:paraId="4EE67FD3" w14:textId="77777777" w:rsidR="00FD1C67" w:rsidRPr="00863834" w:rsidRDefault="00FD1C67" w:rsidP="00863834">
      <w:pPr>
        <w:pStyle w:val="ListParagraph"/>
        <w:widowControl w:val="0"/>
        <w:numPr>
          <w:ilvl w:val="0"/>
          <w:numId w:val="40"/>
        </w:numPr>
        <w:tabs>
          <w:tab w:val="left" w:pos="2903"/>
        </w:tabs>
        <w:autoSpaceDE w:val="0"/>
        <w:autoSpaceDN w:val="0"/>
        <w:spacing w:before="120" w:after="120" w:line="264" w:lineRule="auto"/>
        <w:jc w:val="both"/>
        <w:rPr>
          <w:rFonts w:ascii="Times New Roman" w:hAnsi="Times New Roman" w:cs="Times New Roman"/>
          <w:i/>
        </w:rPr>
      </w:pPr>
      <w:r w:rsidRPr="00863834">
        <w:rPr>
          <w:rFonts w:ascii="Times New Roman" w:hAnsi="Times New Roman" w:cs="Times New Roman"/>
          <w:i/>
        </w:rPr>
        <w:t>Едно</w:t>
      </w:r>
      <w:r w:rsidRPr="00863834">
        <w:rPr>
          <w:rFonts w:ascii="Times New Roman" w:hAnsi="Times New Roman" w:cs="Times New Roman"/>
          <w:i/>
          <w:spacing w:val="-2"/>
        </w:rPr>
        <w:t xml:space="preserve"> </w:t>
      </w:r>
      <w:r w:rsidRPr="00863834">
        <w:rPr>
          <w:rFonts w:ascii="Times New Roman" w:hAnsi="Times New Roman" w:cs="Times New Roman"/>
          <w:i/>
        </w:rPr>
        <w:t>вещество,</w:t>
      </w:r>
      <w:r w:rsidRPr="00863834">
        <w:rPr>
          <w:rFonts w:ascii="Times New Roman" w:hAnsi="Times New Roman" w:cs="Times New Roman"/>
          <w:i/>
          <w:spacing w:val="-2"/>
        </w:rPr>
        <w:t xml:space="preserve"> </w:t>
      </w:r>
      <w:r w:rsidRPr="00863834">
        <w:rPr>
          <w:rFonts w:ascii="Times New Roman" w:hAnsi="Times New Roman" w:cs="Times New Roman"/>
          <w:i/>
        </w:rPr>
        <w:t>една</w:t>
      </w:r>
      <w:r w:rsidRPr="00863834">
        <w:rPr>
          <w:rFonts w:ascii="Times New Roman" w:hAnsi="Times New Roman" w:cs="Times New Roman"/>
          <w:i/>
          <w:spacing w:val="-2"/>
        </w:rPr>
        <w:t xml:space="preserve"> </w:t>
      </w:r>
      <w:r w:rsidRPr="00863834">
        <w:rPr>
          <w:rFonts w:ascii="Times New Roman" w:hAnsi="Times New Roman" w:cs="Times New Roman"/>
          <w:i/>
        </w:rPr>
        <w:t>оценка</w:t>
      </w:r>
    </w:p>
    <w:p w14:paraId="245937DB" w14:textId="2D259AE9" w:rsidR="00FD1C67" w:rsidRPr="00863834" w:rsidRDefault="00EC58AC" w:rsidP="00863834">
      <w:pPr>
        <w:pStyle w:val="ListParagraph"/>
        <w:numPr>
          <w:ilvl w:val="0"/>
          <w:numId w:val="40"/>
        </w:numPr>
        <w:spacing w:before="120" w:after="120" w:line="264" w:lineRule="auto"/>
        <w:rPr>
          <w:rFonts w:ascii="Times New Roman" w:hAnsi="Times New Roman" w:cs="Times New Roman"/>
          <w:i/>
        </w:rPr>
      </w:pPr>
      <w:r w:rsidRPr="00863834">
        <w:rPr>
          <w:rFonts w:ascii="Times New Roman" w:hAnsi="Times New Roman" w:cs="Times New Roman"/>
          <w:i/>
        </w:rPr>
        <w:t>Подход</w:t>
      </w:r>
      <w:r w:rsidRPr="00863834">
        <w:rPr>
          <w:rFonts w:ascii="Times New Roman" w:hAnsi="Times New Roman" w:cs="Times New Roman"/>
          <w:i/>
          <w:spacing w:val="-7"/>
        </w:rPr>
        <w:t xml:space="preserve"> </w:t>
      </w:r>
      <w:r w:rsidRPr="00863834">
        <w:rPr>
          <w:rFonts w:ascii="Times New Roman" w:hAnsi="Times New Roman" w:cs="Times New Roman"/>
          <w:i/>
        </w:rPr>
        <w:t>на</w:t>
      </w:r>
      <w:r w:rsidRPr="00863834">
        <w:rPr>
          <w:rFonts w:ascii="Times New Roman" w:hAnsi="Times New Roman" w:cs="Times New Roman"/>
          <w:i/>
          <w:spacing w:val="-5"/>
        </w:rPr>
        <w:t xml:space="preserve"> </w:t>
      </w:r>
      <w:r w:rsidRPr="00863834">
        <w:rPr>
          <w:rFonts w:ascii="Times New Roman" w:hAnsi="Times New Roman" w:cs="Times New Roman"/>
          <w:i/>
        </w:rPr>
        <w:t>нулева</w:t>
      </w:r>
      <w:r w:rsidRPr="00863834">
        <w:rPr>
          <w:rFonts w:ascii="Times New Roman" w:hAnsi="Times New Roman" w:cs="Times New Roman"/>
          <w:i/>
          <w:spacing w:val="-6"/>
        </w:rPr>
        <w:t xml:space="preserve"> </w:t>
      </w:r>
      <w:r w:rsidRPr="00863834">
        <w:rPr>
          <w:rFonts w:ascii="Times New Roman" w:hAnsi="Times New Roman" w:cs="Times New Roman"/>
          <w:i/>
        </w:rPr>
        <w:t>толерантност</w:t>
      </w:r>
      <w:r w:rsidRPr="00863834">
        <w:rPr>
          <w:rFonts w:ascii="Times New Roman" w:hAnsi="Times New Roman" w:cs="Times New Roman"/>
          <w:i/>
          <w:spacing w:val="-6"/>
        </w:rPr>
        <w:t xml:space="preserve"> </w:t>
      </w:r>
      <w:r w:rsidRPr="00863834">
        <w:rPr>
          <w:rFonts w:ascii="Times New Roman" w:hAnsi="Times New Roman" w:cs="Times New Roman"/>
          <w:i/>
        </w:rPr>
        <w:t>към</w:t>
      </w:r>
      <w:r w:rsidRPr="00863834">
        <w:rPr>
          <w:rFonts w:ascii="Times New Roman" w:hAnsi="Times New Roman" w:cs="Times New Roman"/>
          <w:i/>
          <w:spacing w:val="-5"/>
        </w:rPr>
        <w:t xml:space="preserve"> </w:t>
      </w:r>
      <w:r w:rsidRPr="00863834">
        <w:rPr>
          <w:rFonts w:ascii="Times New Roman" w:hAnsi="Times New Roman" w:cs="Times New Roman"/>
          <w:i/>
        </w:rPr>
        <w:t>несъответствието</w:t>
      </w:r>
    </w:p>
    <w:p w14:paraId="5CA05B58" w14:textId="77777777" w:rsidR="00926139" w:rsidRPr="00863834" w:rsidRDefault="00EC58AC" w:rsidP="00863834">
      <w:pPr>
        <w:pStyle w:val="ListParagraph"/>
        <w:numPr>
          <w:ilvl w:val="0"/>
          <w:numId w:val="40"/>
        </w:numPr>
        <w:spacing w:before="120" w:after="120" w:line="264" w:lineRule="auto"/>
        <w:rPr>
          <w:rFonts w:ascii="Times New Roman" w:hAnsi="Times New Roman" w:cs="Times New Roman"/>
          <w:i/>
        </w:rPr>
      </w:pPr>
      <w:r w:rsidRPr="00863834">
        <w:rPr>
          <w:rFonts w:ascii="Times New Roman" w:hAnsi="Times New Roman" w:cs="Times New Roman"/>
          <w:i/>
        </w:rPr>
        <w:t>Подобряване</w:t>
      </w:r>
      <w:r w:rsidRPr="00863834">
        <w:rPr>
          <w:rFonts w:ascii="Times New Roman" w:hAnsi="Times New Roman" w:cs="Times New Roman"/>
          <w:i/>
          <w:spacing w:val="-4"/>
        </w:rPr>
        <w:t xml:space="preserve"> </w:t>
      </w:r>
      <w:r w:rsidRPr="00863834">
        <w:rPr>
          <w:rFonts w:ascii="Times New Roman" w:hAnsi="Times New Roman" w:cs="Times New Roman"/>
          <w:i/>
        </w:rPr>
        <w:t>на</w:t>
      </w:r>
      <w:r w:rsidRPr="00863834">
        <w:rPr>
          <w:rFonts w:ascii="Times New Roman" w:hAnsi="Times New Roman" w:cs="Times New Roman"/>
          <w:i/>
          <w:spacing w:val="-2"/>
        </w:rPr>
        <w:t xml:space="preserve"> </w:t>
      </w:r>
      <w:r w:rsidRPr="00863834">
        <w:rPr>
          <w:rFonts w:ascii="Times New Roman" w:hAnsi="Times New Roman" w:cs="Times New Roman"/>
          <w:i/>
        </w:rPr>
        <w:t>наличността</w:t>
      </w:r>
      <w:r w:rsidRPr="00863834">
        <w:rPr>
          <w:rFonts w:ascii="Times New Roman" w:hAnsi="Times New Roman" w:cs="Times New Roman"/>
          <w:i/>
          <w:spacing w:val="-2"/>
        </w:rPr>
        <w:t xml:space="preserve"> </w:t>
      </w:r>
      <w:r w:rsidRPr="00863834">
        <w:rPr>
          <w:rFonts w:ascii="Times New Roman" w:hAnsi="Times New Roman" w:cs="Times New Roman"/>
          <w:i/>
        </w:rPr>
        <w:t>на</w:t>
      </w:r>
      <w:r w:rsidRPr="00863834">
        <w:rPr>
          <w:rFonts w:ascii="Times New Roman" w:hAnsi="Times New Roman" w:cs="Times New Roman"/>
          <w:i/>
          <w:spacing w:val="-2"/>
        </w:rPr>
        <w:t xml:space="preserve"> </w:t>
      </w:r>
      <w:r w:rsidRPr="00863834">
        <w:rPr>
          <w:rFonts w:ascii="Times New Roman" w:hAnsi="Times New Roman" w:cs="Times New Roman"/>
          <w:i/>
        </w:rPr>
        <w:t>данни</w:t>
      </w:r>
      <w:r w:rsidRPr="00863834">
        <w:rPr>
          <w:rFonts w:ascii="Times New Roman" w:hAnsi="Times New Roman" w:cs="Times New Roman"/>
          <w:i/>
          <w:spacing w:val="-2"/>
        </w:rPr>
        <w:t xml:space="preserve"> </w:t>
      </w:r>
      <w:r w:rsidRPr="00863834">
        <w:rPr>
          <w:rFonts w:ascii="Times New Roman" w:hAnsi="Times New Roman" w:cs="Times New Roman"/>
          <w:i/>
        </w:rPr>
        <w:t>за</w:t>
      </w:r>
      <w:r w:rsidRPr="00863834">
        <w:rPr>
          <w:rFonts w:ascii="Times New Roman" w:hAnsi="Times New Roman" w:cs="Times New Roman"/>
          <w:i/>
          <w:spacing w:val="-4"/>
        </w:rPr>
        <w:t xml:space="preserve"> </w:t>
      </w:r>
      <w:r w:rsidRPr="00863834">
        <w:rPr>
          <w:rFonts w:ascii="Times New Roman" w:hAnsi="Times New Roman" w:cs="Times New Roman"/>
          <w:i/>
        </w:rPr>
        <w:t>химикалите</w:t>
      </w:r>
    </w:p>
    <w:p w14:paraId="07EC1415" w14:textId="2E570D27" w:rsidR="00EC58AC" w:rsidRPr="00863834" w:rsidRDefault="00EC58AC" w:rsidP="00863834">
      <w:pPr>
        <w:pStyle w:val="ListParagraph"/>
        <w:numPr>
          <w:ilvl w:val="0"/>
          <w:numId w:val="40"/>
        </w:numPr>
        <w:spacing w:before="120" w:after="120" w:line="264" w:lineRule="auto"/>
        <w:rPr>
          <w:rFonts w:ascii="Times New Roman" w:hAnsi="Times New Roman" w:cs="Times New Roman"/>
          <w:i/>
        </w:rPr>
      </w:pPr>
      <w:r w:rsidRPr="00863834">
        <w:rPr>
          <w:rFonts w:ascii="Times New Roman" w:hAnsi="Times New Roman" w:cs="Times New Roman"/>
          <w:i/>
        </w:rPr>
        <w:t>Засилено</w:t>
      </w:r>
      <w:r w:rsidRPr="00863834">
        <w:rPr>
          <w:rFonts w:ascii="Times New Roman" w:hAnsi="Times New Roman" w:cs="Times New Roman"/>
          <w:i/>
          <w:spacing w:val="-4"/>
        </w:rPr>
        <w:t xml:space="preserve"> </w:t>
      </w:r>
      <w:r w:rsidRPr="00863834">
        <w:rPr>
          <w:rFonts w:ascii="Times New Roman" w:hAnsi="Times New Roman" w:cs="Times New Roman"/>
          <w:i/>
        </w:rPr>
        <w:t>взаимодействие</w:t>
      </w:r>
      <w:r w:rsidRPr="00863834">
        <w:rPr>
          <w:rFonts w:ascii="Times New Roman" w:hAnsi="Times New Roman" w:cs="Times New Roman"/>
          <w:i/>
          <w:spacing w:val="-4"/>
        </w:rPr>
        <w:t xml:space="preserve"> </w:t>
      </w:r>
      <w:r w:rsidRPr="00863834">
        <w:rPr>
          <w:rFonts w:ascii="Times New Roman" w:hAnsi="Times New Roman" w:cs="Times New Roman"/>
          <w:i/>
        </w:rPr>
        <w:t>между</w:t>
      </w:r>
      <w:r w:rsidRPr="00863834">
        <w:rPr>
          <w:rFonts w:ascii="Times New Roman" w:hAnsi="Times New Roman" w:cs="Times New Roman"/>
          <w:i/>
          <w:spacing w:val="-4"/>
        </w:rPr>
        <w:t xml:space="preserve"> </w:t>
      </w:r>
      <w:r w:rsidRPr="00863834">
        <w:rPr>
          <w:rFonts w:ascii="Times New Roman" w:hAnsi="Times New Roman" w:cs="Times New Roman"/>
          <w:i/>
        </w:rPr>
        <w:t>химията</w:t>
      </w:r>
      <w:r w:rsidRPr="00863834">
        <w:rPr>
          <w:rFonts w:ascii="Times New Roman" w:hAnsi="Times New Roman" w:cs="Times New Roman"/>
          <w:i/>
          <w:spacing w:val="-4"/>
        </w:rPr>
        <w:t xml:space="preserve"> </w:t>
      </w:r>
      <w:r w:rsidRPr="00863834">
        <w:rPr>
          <w:rFonts w:ascii="Times New Roman" w:hAnsi="Times New Roman" w:cs="Times New Roman"/>
          <w:i/>
        </w:rPr>
        <w:t>и</w:t>
      </w:r>
      <w:r w:rsidRPr="00863834">
        <w:rPr>
          <w:rFonts w:ascii="Times New Roman" w:hAnsi="Times New Roman" w:cs="Times New Roman"/>
          <w:i/>
          <w:spacing w:val="-3"/>
        </w:rPr>
        <w:t xml:space="preserve"> </w:t>
      </w:r>
      <w:r w:rsidRPr="00863834">
        <w:rPr>
          <w:rFonts w:ascii="Times New Roman" w:hAnsi="Times New Roman" w:cs="Times New Roman"/>
          <w:i/>
        </w:rPr>
        <w:t>съответните</w:t>
      </w:r>
      <w:r w:rsidRPr="00863834">
        <w:rPr>
          <w:rFonts w:ascii="Times New Roman" w:hAnsi="Times New Roman" w:cs="Times New Roman"/>
          <w:i/>
          <w:spacing w:val="-4"/>
        </w:rPr>
        <w:t xml:space="preserve"> </w:t>
      </w:r>
      <w:r w:rsidRPr="00863834">
        <w:rPr>
          <w:rFonts w:ascii="Times New Roman" w:hAnsi="Times New Roman" w:cs="Times New Roman"/>
          <w:i/>
        </w:rPr>
        <w:t>политики</w:t>
      </w:r>
    </w:p>
    <w:p w14:paraId="298C4511" w14:textId="1DC26F34" w:rsidR="002A4527" w:rsidRPr="00863834" w:rsidRDefault="00EC58AC" w:rsidP="00863834">
      <w:pPr>
        <w:spacing w:before="120" w:after="120" w:line="264" w:lineRule="auto"/>
        <w:jc w:val="both"/>
        <w:rPr>
          <w:rFonts w:ascii="Times New Roman" w:hAnsi="Times New Roman" w:cs="Times New Roman"/>
          <w:lang w:val="bg-BG"/>
        </w:rPr>
      </w:pPr>
      <w:r w:rsidRPr="00863834">
        <w:rPr>
          <w:rFonts w:ascii="Times New Roman" w:hAnsi="Times New Roman" w:cs="Times New Roman"/>
          <w:b/>
          <w:lang w:val="bg-BG"/>
        </w:rPr>
        <w:t>ЕС</w:t>
      </w:r>
      <w:r w:rsidRPr="00863834">
        <w:rPr>
          <w:rFonts w:ascii="Times New Roman" w:hAnsi="Times New Roman" w:cs="Times New Roman"/>
          <w:b/>
          <w:spacing w:val="-4"/>
          <w:lang w:val="bg-BG"/>
        </w:rPr>
        <w:t xml:space="preserve"> </w:t>
      </w:r>
      <w:r w:rsidRPr="00863834">
        <w:rPr>
          <w:rFonts w:ascii="Times New Roman" w:hAnsi="Times New Roman" w:cs="Times New Roman"/>
          <w:b/>
          <w:lang w:val="bg-BG"/>
        </w:rPr>
        <w:t>като</w:t>
      </w:r>
      <w:r w:rsidRPr="00863834">
        <w:rPr>
          <w:rFonts w:ascii="Times New Roman" w:hAnsi="Times New Roman" w:cs="Times New Roman"/>
          <w:b/>
          <w:spacing w:val="-5"/>
          <w:lang w:val="bg-BG"/>
        </w:rPr>
        <w:t xml:space="preserve"> </w:t>
      </w:r>
      <w:r w:rsidRPr="00863834">
        <w:rPr>
          <w:rFonts w:ascii="Times New Roman" w:hAnsi="Times New Roman" w:cs="Times New Roman"/>
          <w:b/>
          <w:lang w:val="bg-BG"/>
        </w:rPr>
        <w:t>пример</w:t>
      </w:r>
      <w:r w:rsidRPr="00863834">
        <w:rPr>
          <w:rFonts w:ascii="Times New Roman" w:hAnsi="Times New Roman" w:cs="Times New Roman"/>
          <w:b/>
          <w:spacing w:val="-2"/>
          <w:lang w:val="bg-BG"/>
        </w:rPr>
        <w:t xml:space="preserve"> </w:t>
      </w:r>
      <w:r w:rsidRPr="00863834">
        <w:rPr>
          <w:rFonts w:ascii="Times New Roman" w:hAnsi="Times New Roman" w:cs="Times New Roman"/>
          <w:b/>
          <w:lang w:val="bg-BG"/>
        </w:rPr>
        <w:t>за</w:t>
      </w:r>
      <w:r w:rsidRPr="00863834">
        <w:rPr>
          <w:rFonts w:ascii="Times New Roman" w:hAnsi="Times New Roman" w:cs="Times New Roman"/>
          <w:b/>
          <w:spacing w:val="-5"/>
          <w:lang w:val="bg-BG"/>
        </w:rPr>
        <w:t xml:space="preserve"> </w:t>
      </w:r>
      <w:r w:rsidRPr="00863834">
        <w:rPr>
          <w:rFonts w:ascii="Times New Roman" w:hAnsi="Times New Roman" w:cs="Times New Roman"/>
          <w:b/>
          <w:lang w:val="bg-BG"/>
        </w:rPr>
        <w:t>добро</w:t>
      </w:r>
      <w:r w:rsidRPr="00863834">
        <w:rPr>
          <w:rFonts w:ascii="Times New Roman" w:hAnsi="Times New Roman" w:cs="Times New Roman"/>
          <w:b/>
          <w:spacing w:val="-2"/>
          <w:lang w:val="bg-BG"/>
        </w:rPr>
        <w:t xml:space="preserve"> </w:t>
      </w:r>
      <w:r w:rsidRPr="00863834">
        <w:rPr>
          <w:rFonts w:ascii="Times New Roman" w:hAnsi="Times New Roman" w:cs="Times New Roman"/>
          <w:b/>
          <w:lang w:val="bg-BG"/>
        </w:rPr>
        <w:t>управление</w:t>
      </w:r>
      <w:r w:rsidRPr="00863834">
        <w:rPr>
          <w:rFonts w:ascii="Times New Roman" w:hAnsi="Times New Roman" w:cs="Times New Roman"/>
          <w:b/>
          <w:spacing w:val="-3"/>
          <w:lang w:val="bg-BG"/>
        </w:rPr>
        <w:t xml:space="preserve"> </w:t>
      </w:r>
      <w:r w:rsidRPr="00863834">
        <w:rPr>
          <w:rFonts w:ascii="Times New Roman" w:hAnsi="Times New Roman" w:cs="Times New Roman"/>
          <w:b/>
          <w:lang w:val="bg-BG"/>
        </w:rPr>
        <w:t>на</w:t>
      </w:r>
      <w:r w:rsidRPr="00863834">
        <w:rPr>
          <w:rFonts w:ascii="Times New Roman" w:hAnsi="Times New Roman" w:cs="Times New Roman"/>
          <w:b/>
          <w:spacing w:val="-2"/>
          <w:lang w:val="bg-BG"/>
        </w:rPr>
        <w:t xml:space="preserve"> </w:t>
      </w:r>
      <w:r w:rsidRPr="00863834">
        <w:rPr>
          <w:rFonts w:ascii="Times New Roman" w:hAnsi="Times New Roman" w:cs="Times New Roman"/>
          <w:b/>
          <w:lang w:val="bg-BG"/>
        </w:rPr>
        <w:t>химикалите</w:t>
      </w:r>
      <w:r w:rsidRPr="00863834">
        <w:rPr>
          <w:rFonts w:ascii="Times New Roman" w:hAnsi="Times New Roman" w:cs="Times New Roman"/>
          <w:b/>
          <w:spacing w:val="-3"/>
          <w:lang w:val="bg-BG"/>
        </w:rPr>
        <w:t xml:space="preserve"> </w:t>
      </w:r>
      <w:r w:rsidRPr="00863834">
        <w:rPr>
          <w:rFonts w:ascii="Times New Roman" w:hAnsi="Times New Roman" w:cs="Times New Roman"/>
          <w:b/>
          <w:lang w:val="bg-BG"/>
        </w:rPr>
        <w:t>в</w:t>
      </w:r>
      <w:r w:rsidRPr="00863834">
        <w:rPr>
          <w:rFonts w:ascii="Times New Roman" w:hAnsi="Times New Roman" w:cs="Times New Roman"/>
          <w:b/>
          <w:spacing w:val="-3"/>
          <w:lang w:val="bg-BG"/>
        </w:rPr>
        <w:t xml:space="preserve"> </w:t>
      </w:r>
      <w:r w:rsidRPr="00863834">
        <w:rPr>
          <w:rFonts w:ascii="Times New Roman" w:hAnsi="Times New Roman" w:cs="Times New Roman"/>
          <w:b/>
          <w:lang w:val="bg-BG"/>
        </w:rPr>
        <w:t>световен</w:t>
      </w:r>
      <w:r w:rsidRPr="00863834">
        <w:rPr>
          <w:rFonts w:ascii="Times New Roman" w:hAnsi="Times New Roman" w:cs="Times New Roman"/>
          <w:b/>
          <w:spacing w:val="-2"/>
          <w:lang w:val="bg-BG"/>
        </w:rPr>
        <w:t xml:space="preserve"> </w:t>
      </w:r>
      <w:r w:rsidRPr="00863834">
        <w:rPr>
          <w:rFonts w:ascii="Times New Roman" w:hAnsi="Times New Roman" w:cs="Times New Roman"/>
          <w:b/>
          <w:lang w:val="bg-BG"/>
        </w:rPr>
        <w:t>мащаб</w:t>
      </w:r>
      <w:r w:rsidR="00083D66" w:rsidRPr="00863834">
        <w:rPr>
          <w:rFonts w:ascii="Times New Roman" w:hAnsi="Times New Roman" w:cs="Times New Roman"/>
          <w:b/>
          <w:lang w:val="bg-BG"/>
        </w:rPr>
        <w:t xml:space="preserve">. </w:t>
      </w:r>
      <w:r w:rsidR="002A4527" w:rsidRPr="00863834">
        <w:rPr>
          <w:rFonts w:ascii="Times New Roman" w:hAnsi="Times New Roman" w:cs="Times New Roman"/>
          <w:lang w:val="bg-BG"/>
        </w:rPr>
        <w:t>Производството, употребата и търговията с химикали нарастват във всички региони на света. През 2018 г.</w:t>
      </w:r>
      <w:r w:rsidR="002A4527" w:rsidRPr="00863834">
        <w:rPr>
          <w:rStyle w:val="FootnoteReference"/>
          <w:rFonts w:ascii="Times New Roman" w:hAnsi="Times New Roman" w:cs="Times New Roman"/>
          <w:lang w:val="bg-BG"/>
        </w:rPr>
        <w:footnoteReference w:id="9"/>
      </w:r>
      <w:r w:rsidR="002A4527" w:rsidRPr="00863834">
        <w:rPr>
          <w:rFonts w:ascii="Times New Roman" w:hAnsi="Times New Roman" w:cs="Times New Roman"/>
          <w:lang w:val="bg-BG"/>
        </w:rPr>
        <w:t xml:space="preserve"> световният оборот на химикали беше оценен на 3,347 милиарда евро, а до 2030 г. се очаква производството да се удвои. Отраслите с интензивно използване на химикали като строителството, автомобилостроенето и електрониката също бележат ръст, което увеличава търсенето на химикали и създава възможности, но и рискове</w:t>
      </w:r>
      <w:r w:rsidR="002A4527" w:rsidRPr="00863834">
        <w:rPr>
          <w:rStyle w:val="FootnoteReference"/>
          <w:rFonts w:ascii="Times New Roman" w:hAnsi="Times New Roman" w:cs="Times New Roman"/>
          <w:lang w:val="bg-BG"/>
        </w:rPr>
        <w:footnoteReference w:id="10"/>
      </w:r>
      <w:r w:rsidR="002A4527" w:rsidRPr="00863834">
        <w:rPr>
          <w:rFonts w:ascii="Times New Roman" w:hAnsi="Times New Roman" w:cs="Times New Roman"/>
          <w:lang w:val="bg-BG"/>
        </w:rPr>
        <w:t>. Въпреки че приносът му към заболеваемостта в световен мащаб все още се подценява</w:t>
      </w:r>
      <w:r w:rsidR="002A4527" w:rsidRPr="00863834">
        <w:rPr>
          <w:rStyle w:val="FootnoteReference"/>
          <w:rFonts w:ascii="Times New Roman" w:hAnsi="Times New Roman" w:cs="Times New Roman"/>
          <w:lang w:val="bg-BG"/>
        </w:rPr>
        <w:footnoteReference w:id="11"/>
      </w:r>
      <w:r w:rsidR="002A4527" w:rsidRPr="00863834">
        <w:rPr>
          <w:rFonts w:ascii="Times New Roman" w:hAnsi="Times New Roman" w:cs="Times New Roman"/>
          <w:lang w:val="bg-BG"/>
        </w:rPr>
        <w:t>, химическото замърсяване е признато за заплаха за правото на достоен живот, особено за децата</w:t>
      </w:r>
      <w:r w:rsidR="002A4527" w:rsidRPr="00863834">
        <w:rPr>
          <w:rStyle w:val="FootnoteReference"/>
          <w:rFonts w:ascii="Times New Roman" w:hAnsi="Times New Roman" w:cs="Times New Roman"/>
          <w:lang w:val="bg-BG"/>
        </w:rPr>
        <w:footnoteReference w:id="12"/>
      </w:r>
      <w:r w:rsidR="002A4527" w:rsidRPr="00863834">
        <w:rPr>
          <w:rFonts w:ascii="Times New Roman" w:hAnsi="Times New Roman" w:cs="Times New Roman"/>
          <w:lang w:val="bg-BG"/>
        </w:rPr>
        <w:t>, и по-специално в държавите</w:t>
      </w:r>
      <w:r w:rsidR="002A4527" w:rsidRPr="00863834">
        <w:rPr>
          <w:rStyle w:val="FootnoteReference"/>
          <w:rFonts w:ascii="Times New Roman" w:hAnsi="Times New Roman" w:cs="Times New Roman"/>
          <w:lang w:val="bg-BG"/>
        </w:rPr>
        <w:footnoteReference w:id="13"/>
      </w:r>
      <w:r w:rsidR="002A4527" w:rsidRPr="00863834">
        <w:rPr>
          <w:rFonts w:ascii="Times New Roman" w:hAnsi="Times New Roman" w:cs="Times New Roman"/>
          <w:lang w:val="bg-BG"/>
        </w:rPr>
        <w:t xml:space="preserve"> с ниски и средни доходи.</w:t>
      </w:r>
    </w:p>
    <w:p w14:paraId="0542669C" w14:textId="7843D743" w:rsidR="002A4527" w:rsidRPr="00863834" w:rsidRDefault="002A4527" w:rsidP="00863834">
      <w:pPr>
        <w:pStyle w:val="BodyText"/>
        <w:spacing w:before="120" w:after="120" w:line="264" w:lineRule="auto"/>
        <w:jc w:val="both"/>
        <w:rPr>
          <w:rFonts w:ascii="Times New Roman" w:hAnsi="Times New Roman" w:cs="Times New Roman"/>
          <w:lang w:val="bg-BG"/>
        </w:rPr>
      </w:pPr>
      <w:r w:rsidRPr="00863834">
        <w:rPr>
          <w:rFonts w:ascii="Times New Roman" w:hAnsi="Times New Roman" w:cs="Times New Roman"/>
          <w:lang w:val="bg-BG"/>
        </w:rPr>
        <w:t>През 2015 г. международната общност поднов</w:t>
      </w:r>
      <w:r w:rsidR="00083D66" w:rsidRPr="00863834">
        <w:rPr>
          <w:rFonts w:ascii="Times New Roman" w:hAnsi="Times New Roman" w:cs="Times New Roman"/>
          <w:lang w:val="bg-BG"/>
        </w:rPr>
        <w:t xml:space="preserve">ява </w:t>
      </w:r>
      <w:r w:rsidRPr="00863834">
        <w:rPr>
          <w:rFonts w:ascii="Times New Roman" w:hAnsi="Times New Roman" w:cs="Times New Roman"/>
          <w:lang w:val="bg-BG"/>
        </w:rPr>
        <w:t>ангажимента си за постигане на целта за добро управление на химикалите в  световен мащаб до 2020 г.</w:t>
      </w:r>
      <w:r w:rsidRPr="00863834">
        <w:rPr>
          <w:rStyle w:val="FootnoteReference"/>
          <w:rFonts w:ascii="Times New Roman" w:hAnsi="Times New Roman" w:cs="Times New Roman"/>
          <w:lang w:val="bg-BG"/>
        </w:rPr>
        <w:footnoteReference w:id="14"/>
      </w:r>
      <w:r w:rsidRPr="00863834">
        <w:rPr>
          <w:rFonts w:ascii="Times New Roman" w:hAnsi="Times New Roman" w:cs="Times New Roman"/>
          <w:lang w:val="bg-BG"/>
        </w:rPr>
        <w:t>, което също е съществен междусекторен елемент за постигане на по-голяма част от останалите цели за устойчиво развитие. Въпреки значителните постижения на всички равнища, напредъкът все още е бавен и недостатъчен и този международен ангажимент не е изпълнен</w:t>
      </w:r>
      <w:r w:rsidRPr="00863834">
        <w:rPr>
          <w:rStyle w:val="FootnoteReference"/>
          <w:rFonts w:ascii="Times New Roman" w:hAnsi="Times New Roman" w:cs="Times New Roman"/>
          <w:lang w:val="bg-BG"/>
        </w:rPr>
        <w:footnoteReference w:id="15"/>
      </w:r>
      <w:r w:rsidRPr="00863834">
        <w:rPr>
          <w:rFonts w:ascii="Times New Roman" w:hAnsi="Times New Roman" w:cs="Times New Roman"/>
          <w:lang w:val="bg-BG"/>
        </w:rPr>
        <w:t>. Необходимо е осъзнаването на нуждата от спешни действия. Европейският съюз може да играе водеща роля за отстояване и насърчаване на високи стандарти в световен мащаб и трябва да го направи.</w:t>
      </w:r>
      <w:r w:rsidR="00083D66" w:rsidRPr="00863834">
        <w:rPr>
          <w:rFonts w:ascii="Times New Roman" w:hAnsi="Times New Roman" w:cs="Times New Roman"/>
          <w:lang w:val="bg-BG"/>
        </w:rPr>
        <w:t xml:space="preserve"> Тук са включени следните задачи:</w:t>
      </w:r>
    </w:p>
    <w:p w14:paraId="075C1EA3" w14:textId="77777777" w:rsidR="002A4527" w:rsidRPr="00863834" w:rsidRDefault="002A4527" w:rsidP="00863834">
      <w:pPr>
        <w:pStyle w:val="ListParagraph"/>
        <w:widowControl w:val="0"/>
        <w:numPr>
          <w:ilvl w:val="0"/>
          <w:numId w:val="41"/>
        </w:numPr>
        <w:tabs>
          <w:tab w:val="left" w:pos="2903"/>
        </w:tabs>
        <w:autoSpaceDE w:val="0"/>
        <w:autoSpaceDN w:val="0"/>
        <w:spacing w:before="120" w:after="120" w:line="264" w:lineRule="auto"/>
        <w:rPr>
          <w:rFonts w:ascii="Times New Roman" w:hAnsi="Times New Roman" w:cs="Times New Roman"/>
          <w:i/>
        </w:rPr>
      </w:pPr>
      <w:r w:rsidRPr="00863834">
        <w:rPr>
          <w:rFonts w:ascii="Times New Roman" w:hAnsi="Times New Roman" w:cs="Times New Roman"/>
          <w:i/>
        </w:rPr>
        <w:t>Укрепване</w:t>
      </w:r>
      <w:r w:rsidRPr="00863834">
        <w:rPr>
          <w:rFonts w:ascii="Times New Roman" w:hAnsi="Times New Roman" w:cs="Times New Roman"/>
          <w:i/>
          <w:spacing w:val="-5"/>
        </w:rPr>
        <w:t xml:space="preserve"> </w:t>
      </w:r>
      <w:r w:rsidRPr="00863834">
        <w:rPr>
          <w:rFonts w:ascii="Times New Roman" w:hAnsi="Times New Roman" w:cs="Times New Roman"/>
          <w:i/>
        </w:rPr>
        <w:t>на</w:t>
      </w:r>
      <w:r w:rsidRPr="00863834">
        <w:rPr>
          <w:rFonts w:ascii="Times New Roman" w:hAnsi="Times New Roman" w:cs="Times New Roman"/>
          <w:i/>
          <w:spacing w:val="-3"/>
        </w:rPr>
        <w:t xml:space="preserve"> </w:t>
      </w:r>
      <w:r w:rsidRPr="00863834">
        <w:rPr>
          <w:rFonts w:ascii="Times New Roman" w:hAnsi="Times New Roman" w:cs="Times New Roman"/>
          <w:i/>
        </w:rPr>
        <w:t>международните</w:t>
      </w:r>
      <w:r w:rsidRPr="00863834">
        <w:rPr>
          <w:rFonts w:ascii="Times New Roman" w:hAnsi="Times New Roman" w:cs="Times New Roman"/>
          <w:i/>
          <w:spacing w:val="-5"/>
        </w:rPr>
        <w:t xml:space="preserve"> </w:t>
      </w:r>
      <w:r w:rsidRPr="00863834">
        <w:rPr>
          <w:rFonts w:ascii="Times New Roman" w:hAnsi="Times New Roman" w:cs="Times New Roman"/>
          <w:i/>
        </w:rPr>
        <w:t>стандарти</w:t>
      </w:r>
    </w:p>
    <w:p w14:paraId="4118850B" w14:textId="0B182D0A" w:rsidR="002A4527" w:rsidRPr="00863834" w:rsidRDefault="002A4527" w:rsidP="00863834">
      <w:pPr>
        <w:pStyle w:val="ListParagraph"/>
        <w:widowControl w:val="0"/>
        <w:numPr>
          <w:ilvl w:val="0"/>
          <w:numId w:val="41"/>
        </w:numPr>
        <w:tabs>
          <w:tab w:val="left" w:pos="2903"/>
        </w:tabs>
        <w:autoSpaceDE w:val="0"/>
        <w:autoSpaceDN w:val="0"/>
        <w:spacing w:before="120" w:after="120" w:line="264" w:lineRule="auto"/>
        <w:rPr>
          <w:rFonts w:ascii="Times New Roman" w:hAnsi="Times New Roman" w:cs="Times New Roman"/>
          <w:i/>
        </w:rPr>
      </w:pPr>
      <w:r w:rsidRPr="00863834">
        <w:rPr>
          <w:rFonts w:ascii="Times New Roman" w:hAnsi="Times New Roman" w:cs="Times New Roman"/>
          <w:i/>
        </w:rPr>
        <w:t>Насърчаване</w:t>
      </w:r>
      <w:r w:rsidRPr="00863834">
        <w:rPr>
          <w:rFonts w:ascii="Times New Roman" w:hAnsi="Times New Roman" w:cs="Times New Roman"/>
          <w:i/>
          <w:spacing w:val="-5"/>
        </w:rPr>
        <w:t xml:space="preserve"> </w:t>
      </w:r>
      <w:r w:rsidRPr="00863834">
        <w:rPr>
          <w:rFonts w:ascii="Times New Roman" w:hAnsi="Times New Roman" w:cs="Times New Roman"/>
          <w:i/>
        </w:rPr>
        <w:t>на</w:t>
      </w:r>
      <w:r w:rsidRPr="00863834">
        <w:rPr>
          <w:rFonts w:ascii="Times New Roman" w:hAnsi="Times New Roman" w:cs="Times New Roman"/>
          <w:i/>
          <w:spacing w:val="-2"/>
        </w:rPr>
        <w:t xml:space="preserve"> </w:t>
      </w:r>
      <w:r w:rsidRPr="00863834">
        <w:rPr>
          <w:rFonts w:ascii="Times New Roman" w:hAnsi="Times New Roman" w:cs="Times New Roman"/>
          <w:i/>
        </w:rPr>
        <w:t>стандарти</w:t>
      </w:r>
      <w:r w:rsidRPr="00863834">
        <w:rPr>
          <w:rFonts w:ascii="Times New Roman" w:hAnsi="Times New Roman" w:cs="Times New Roman"/>
          <w:i/>
          <w:spacing w:val="-3"/>
        </w:rPr>
        <w:t xml:space="preserve"> </w:t>
      </w:r>
      <w:r w:rsidRPr="00863834">
        <w:rPr>
          <w:rFonts w:ascii="Times New Roman" w:hAnsi="Times New Roman" w:cs="Times New Roman"/>
          <w:i/>
        </w:rPr>
        <w:t>за</w:t>
      </w:r>
      <w:r w:rsidRPr="00863834">
        <w:rPr>
          <w:rFonts w:ascii="Times New Roman" w:hAnsi="Times New Roman" w:cs="Times New Roman"/>
          <w:i/>
          <w:spacing w:val="-4"/>
        </w:rPr>
        <w:t xml:space="preserve"> </w:t>
      </w:r>
      <w:r w:rsidRPr="00863834">
        <w:rPr>
          <w:rFonts w:ascii="Times New Roman" w:hAnsi="Times New Roman" w:cs="Times New Roman"/>
          <w:i/>
        </w:rPr>
        <w:t>безопасност</w:t>
      </w:r>
      <w:r w:rsidRPr="00863834">
        <w:rPr>
          <w:rFonts w:ascii="Times New Roman" w:hAnsi="Times New Roman" w:cs="Times New Roman"/>
          <w:i/>
          <w:spacing w:val="-4"/>
        </w:rPr>
        <w:t xml:space="preserve"> </w:t>
      </w:r>
      <w:r w:rsidRPr="00863834">
        <w:rPr>
          <w:rFonts w:ascii="Times New Roman" w:hAnsi="Times New Roman" w:cs="Times New Roman"/>
          <w:i/>
        </w:rPr>
        <w:t>и</w:t>
      </w:r>
      <w:r w:rsidRPr="00863834">
        <w:rPr>
          <w:rFonts w:ascii="Times New Roman" w:hAnsi="Times New Roman" w:cs="Times New Roman"/>
          <w:i/>
          <w:spacing w:val="-3"/>
        </w:rPr>
        <w:t xml:space="preserve"> </w:t>
      </w:r>
      <w:r w:rsidRPr="00863834">
        <w:rPr>
          <w:rFonts w:ascii="Times New Roman" w:hAnsi="Times New Roman" w:cs="Times New Roman"/>
          <w:i/>
        </w:rPr>
        <w:t>устойчивост</w:t>
      </w:r>
      <w:r w:rsidRPr="00863834">
        <w:rPr>
          <w:rFonts w:ascii="Times New Roman" w:hAnsi="Times New Roman" w:cs="Times New Roman"/>
          <w:i/>
          <w:spacing w:val="-4"/>
        </w:rPr>
        <w:t xml:space="preserve"> </w:t>
      </w:r>
      <w:r w:rsidRPr="00863834">
        <w:rPr>
          <w:rFonts w:ascii="Times New Roman" w:hAnsi="Times New Roman" w:cs="Times New Roman"/>
          <w:i/>
        </w:rPr>
        <w:t>извън</w:t>
      </w:r>
      <w:r w:rsidRPr="00863834">
        <w:rPr>
          <w:rFonts w:ascii="Times New Roman" w:hAnsi="Times New Roman" w:cs="Times New Roman"/>
          <w:i/>
          <w:spacing w:val="-3"/>
        </w:rPr>
        <w:t xml:space="preserve"> </w:t>
      </w:r>
      <w:r w:rsidRPr="00863834">
        <w:rPr>
          <w:rFonts w:ascii="Times New Roman" w:hAnsi="Times New Roman" w:cs="Times New Roman"/>
          <w:i/>
        </w:rPr>
        <w:t>ЕС</w:t>
      </w:r>
    </w:p>
    <w:p w14:paraId="39849480" w14:textId="6E5C4656" w:rsidR="009520F0" w:rsidRPr="00926139" w:rsidRDefault="009520F0" w:rsidP="003263CD">
      <w:pPr>
        <w:widowControl w:val="0"/>
        <w:tabs>
          <w:tab w:val="left" w:pos="2903"/>
        </w:tabs>
        <w:autoSpaceDE w:val="0"/>
        <w:autoSpaceDN w:val="0"/>
        <w:spacing w:before="120" w:after="120" w:line="264" w:lineRule="auto"/>
        <w:jc w:val="both"/>
        <w:rPr>
          <w:rFonts w:ascii="Times New Roman" w:hAnsi="Times New Roman" w:cs="Times New Roman"/>
          <w:i/>
          <w:sz w:val="24"/>
          <w:lang w:val="bg-BG"/>
        </w:rPr>
      </w:pPr>
      <w:r w:rsidRPr="00926139">
        <w:rPr>
          <w:rStyle w:val="jlqj4b"/>
          <w:rFonts w:ascii="Times New Roman" w:hAnsi="Times New Roman" w:cs="Times New Roman"/>
          <w:lang w:val="bg-BG"/>
        </w:rPr>
        <w:t xml:space="preserve">През март 2021 г. Съветът </w:t>
      </w:r>
      <w:r w:rsidR="00863834">
        <w:rPr>
          <w:rStyle w:val="jlqj4b"/>
          <w:rFonts w:ascii="Times New Roman" w:hAnsi="Times New Roman" w:cs="Times New Roman"/>
          <w:lang w:val="bg-BG"/>
        </w:rPr>
        <w:t xml:space="preserve">приема </w:t>
      </w:r>
      <w:r w:rsidRPr="00926139">
        <w:rPr>
          <w:rStyle w:val="jlqj4b"/>
          <w:rFonts w:ascii="Times New Roman" w:hAnsi="Times New Roman" w:cs="Times New Roman"/>
          <w:lang w:val="bg-BG"/>
        </w:rPr>
        <w:t>стратегията за химикалите, призовавайки Комисията</w:t>
      </w:r>
      <w:r w:rsidR="00863834">
        <w:rPr>
          <w:rStyle w:val="jlqj4b"/>
          <w:rFonts w:ascii="Times New Roman" w:hAnsi="Times New Roman" w:cs="Times New Roman"/>
          <w:lang w:val="bg-BG"/>
        </w:rPr>
        <w:t xml:space="preserve"> </w:t>
      </w:r>
      <w:r w:rsidRPr="00926139">
        <w:rPr>
          <w:rStyle w:val="jlqj4b"/>
          <w:rFonts w:ascii="Times New Roman" w:hAnsi="Times New Roman" w:cs="Times New Roman"/>
          <w:lang w:val="bg-BG"/>
        </w:rPr>
        <w:t xml:space="preserve">да разработи пътна карта за изменение на </w:t>
      </w:r>
      <w:r w:rsidR="00926139" w:rsidRPr="00926139">
        <w:rPr>
          <w:rStyle w:val="jlqj4b"/>
          <w:rFonts w:ascii="Times New Roman" w:hAnsi="Times New Roman" w:cs="Times New Roman"/>
          <w:lang w:val="bg-BG"/>
        </w:rPr>
        <w:t xml:space="preserve">Регламента </w:t>
      </w:r>
      <w:r w:rsidRPr="00926139">
        <w:rPr>
          <w:rStyle w:val="jlqj4b"/>
          <w:rFonts w:ascii="Times New Roman" w:hAnsi="Times New Roman" w:cs="Times New Roman"/>
          <w:lang w:val="bg-BG"/>
        </w:rPr>
        <w:t>REACH. През май 2021 г. процесът на изменение на REACH е започнат</w:t>
      </w:r>
      <w:r w:rsidR="00863834">
        <w:rPr>
          <w:rStyle w:val="jlqj4b"/>
          <w:rFonts w:ascii="Times New Roman" w:hAnsi="Times New Roman" w:cs="Times New Roman"/>
          <w:lang w:val="bg-BG"/>
        </w:rPr>
        <w:t xml:space="preserve">, като </w:t>
      </w:r>
      <w:r w:rsidRPr="00926139">
        <w:rPr>
          <w:rStyle w:val="jlqj4b"/>
          <w:rFonts w:ascii="Times New Roman" w:hAnsi="Times New Roman" w:cs="Times New Roman"/>
          <w:lang w:val="bg-BG"/>
        </w:rPr>
        <w:t xml:space="preserve">Комисията </w:t>
      </w:r>
      <w:r w:rsidR="00863834">
        <w:rPr>
          <w:rStyle w:val="jlqj4b"/>
          <w:rFonts w:ascii="Times New Roman" w:hAnsi="Times New Roman" w:cs="Times New Roman"/>
          <w:lang w:val="bg-BG"/>
        </w:rPr>
        <w:t>п</w:t>
      </w:r>
      <w:r w:rsidRPr="00926139">
        <w:rPr>
          <w:rStyle w:val="jlqj4b"/>
          <w:rFonts w:ascii="Times New Roman" w:hAnsi="Times New Roman" w:cs="Times New Roman"/>
          <w:lang w:val="bg-BG"/>
        </w:rPr>
        <w:t>убликува началната оценка на въздействието. Законодателното предложение е планирано за края на 2022 г. Предвид политическата значимост на политиката за химикалите и оспорвания характер на предложените мерки, процесът на изготвяне на политики ще се характеризира с противоречия. Може да се очаква, че държавите-членки няма да предоставят на ECHA пълна автономия при отмяна на регистрациите и вероятно ще има силна роля на органите на държавите-членки в съответните процедури за вземане на решения. Въпреки че Съветът насърчава увеличаването на правоприлагащия капацитет, той същевременно признава водещата роля на държавите-членки по отношение на сътрудничеството на националните органи. Следователно, прилагането на много нива е трайна характеристика на политиката за химикалите, независимо от перспективата за изменение на REACH и, както показват заключенията на Съвета, националните правоприлагащи органи ще продължат да играят водеща роля заедно с Комисията и агенцията.</w:t>
      </w:r>
    </w:p>
    <w:p w14:paraId="66EA504F" w14:textId="6C633069"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Класификация, опаковане и етикетиране</w:t>
      </w:r>
    </w:p>
    <w:p w14:paraId="4617DCB6" w14:textId="5BDF357D"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 xml:space="preserve">За да се повиши равнището на защита на човешкото здраве и околната среда, следва да се използват еднакви критерии при установяването и етикетирането на химичните рискове навсякъде в ЕС и по света. Приетият през 2008 г. Регламент (EО) № 1272/2008 относно класифицирането, етикетирането и опаковането на вещества и смеси, има за цел привеждане на системата на ЕС в съответствие с Глобалната хармонизирана система на ООН за класифициране и етикетиране на химичните продукти (GHS). Приетите по-рано директиви относно опасните вещества и препарати </w:t>
      </w:r>
      <w:r w:rsidR="00922D1D">
        <w:rPr>
          <w:rFonts w:ascii="Times New Roman" w:eastAsia="Times New Roman" w:hAnsi="Times New Roman" w:cs="Times New Roman"/>
          <w:lang w:val="bg-BG"/>
        </w:rPr>
        <w:t>с</w:t>
      </w:r>
      <w:r w:rsidRPr="00BD246F">
        <w:rPr>
          <w:rFonts w:ascii="Times New Roman" w:eastAsia="Times New Roman" w:hAnsi="Times New Roman" w:cs="Times New Roman"/>
          <w:lang w:val="bg-BG"/>
        </w:rPr>
        <w:t>а отменени през юни 2015 г.</w:t>
      </w:r>
    </w:p>
    <w:p w14:paraId="1C7B0F2E" w14:textId="77777777"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Износ и внос на опасни вещества</w:t>
      </w:r>
    </w:p>
    <w:p w14:paraId="3802221E" w14:textId="7A3A9C33"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 xml:space="preserve">Правилата на ЕС по отношение на износа и вноса на опасни химични вещества </w:t>
      </w:r>
      <w:r w:rsidR="00922D1D">
        <w:rPr>
          <w:rFonts w:ascii="Times New Roman" w:eastAsia="Times New Roman" w:hAnsi="Times New Roman" w:cs="Times New Roman"/>
          <w:lang w:val="bg-BG"/>
        </w:rPr>
        <w:t>с</w:t>
      </w:r>
      <w:r w:rsidRPr="00BD246F">
        <w:rPr>
          <w:rFonts w:ascii="Times New Roman" w:eastAsia="Times New Roman" w:hAnsi="Times New Roman" w:cs="Times New Roman"/>
          <w:lang w:val="bg-BG"/>
        </w:rPr>
        <w:t>а установени с Регламент (EС) № 649/2012, чиято цел е насърчаване на споделената отговорност и съвместните усилия при международното движение на опасни химични вещества и прилагане на Ротердамската конвенция относно процедурата за предварително обосновано съгласие при международната търговия с определени опасни химични вещества и пестициди. Процедурата за предварително обосновано съгласие предвижда споделяне на информация относно токсични химични вещества и изчакване на изричното съгласие на съответната държава преди осъществяването на износ на въпросния продукт.</w:t>
      </w:r>
    </w:p>
    <w:p w14:paraId="7E05F206" w14:textId="77777777" w:rsidR="004F6C38" w:rsidRPr="004F6C38" w:rsidRDefault="004F6C38" w:rsidP="00712AA8">
      <w:pPr>
        <w:spacing w:before="120" w:after="120" w:line="264" w:lineRule="auto"/>
        <w:jc w:val="both"/>
        <w:rPr>
          <w:rFonts w:ascii="Times New Roman" w:eastAsia="Times New Roman" w:hAnsi="Times New Roman" w:cs="Times New Roman"/>
          <w:lang w:val="ru-RU"/>
        </w:rPr>
      </w:pPr>
      <w:r>
        <w:rPr>
          <w:rFonts w:ascii="Times New Roman" w:eastAsia="Times New Roman" w:hAnsi="Times New Roman" w:cs="Times New Roman"/>
          <w:lang w:val="bg-BG"/>
        </w:rPr>
        <w:t>Предотвратяване на риска от големи аварии</w:t>
      </w:r>
    </w:p>
    <w:p w14:paraId="4522DCD2" w14:textId="77777777" w:rsidR="004F6C38" w:rsidRPr="00712AA8" w:rsidRDefault="004F6C38" w:rsidP="00712AA8">
      <w:pPr>
        <w:spacing w:before="120" w:after="120" w:line="264" w:lineRule="auto"/>
        <w:jc w:val="both"/>
        <w:rPr>
          <w:rFonts w:ascii="Times New Roman" w:hAnsi="Times New Roman" w:cs="Times New Roman"/>
          <w:lang w:val="bg-BG"/>
        </w:rPr>
      </w:pPr>
      <w:r w:rsidRPr="00712AA8">
        <w:rPr>
          <w:rFonts w:ascii="Times New Roman" w:eastAsia="Times New Roman" w:hAnsi="Times New Roman" w:cs="Times New Roman"/>
          <w:lang w:val="bg-BG" w:eastAsia="bg-BG"/>
        </w:rPr>
        <w:t>Катастрофата в италианския град Севезо през 1976 г., насърчава европейската общност да приеме законодателство насочено към превенцията и контрола на такива аварии в рамките на т. нар. Севезо директива.</w:t>
      </w:r>
      <w:r w:rsidRPr="00712AA8">
        <w:rPr>
          <w:lang w:val="bg-BG"/>
        </w:rPr>
        <w:t xml:space="preserve"> </w:t>
      </w:r>
      <w:bookmarkStart w:id="4" w:name="_Hlk74512140"/>
      <w:r w:rsidRPr="00712AA8">
        <w:rPr>
          <w:rFonts w:ascii="Times New Roman" w:eastAsia="Times New Roman" w:hAnsi="Times New Roman" w:cs="Times New Roman"/>
          <w:lang w:val="bg-BG" w:eastAsia="bg-BG"/>
        </w:rPr>
        <w:t xml:space="preserve">Директива 82/501/ЕИО </w:t>
      </w:r>
      <w:bookmarkEnd w:id="4"/>
      <w:r w:rsidRPr="00712AA8">
        <w:rPr>
          <w:rFonts w:ascii="Times New Roman" w:eastAsia="Times New Roman" w:hAnsi="Times New Roman" w:cs="Times New Roman"/>
          <w:lang w:val="bg-BG" w:eastAsia="bg-BG"/>
        </w:rPr>
        <w:t>на Съвета относно контрола на опасностите от големи аварии, които включват опасни вещества (Директива Севезо I) е един от първите опити на ЕС да приеме единни процедури за идентифициране и категоризиране на предприятията, извършващи дейности, които могат да бъдат наречени „опасни/рискови“.</w:t>
      </w:r>
      <w:r w:rsidRPr="00712AA8">
        <w:rPr>
          <w:rFonts w:ascii="Times New Roman" w:hAnsi="Times New Roman" w:cs="Times New Roman"/>
          <w:lang w:val="bg-BG"/>
        </w:rPr>
        <w:t xml:space="preserve"> През 1996 г.</w:t>
      </w:r>
      <w:r w:rsidRPr="00712AA8">
        <w:rPr>
          <w:lang w:val="bg-BG"/>
        </w:rPr>
        <w:t xml:space="preserve"> </w:t>
      </w:r>
      <w:r w:rsidRPr="00712AA8">
        <w:rPr>
          <w:rFonts w:ascii="Times New Roman" w:hAnsi="Times New Roman" w:cs="Times New Roman"/>
          <w:lang w:val="bg-BG"/>
        </w:rPr>
        <w:t>с оглед на извлечените поуки от последните аварии, като тези в Бопал, Тулуза или Енсхеде Директива 2003/105/EО (Seveso II) заменя Директивата Seveso I от 1989 г., попълвайки и някои пропуски, като липсващ</w:t>
      </w:r>
      <w:r w:rsidRPr="00712AA8">
        <w:rPr>
          <w:rFonts w:ascii="Times New Roman" w:hAnsi="Times New Roman" w:cs="Times New Roman"/>
        </w:rPr>
        <w:t>a</w:t>
      </w:r>
      <w:r w:rsidRPr="00712AA8">
        <w:rPr>
          <w:rFonts w:ascii="Times New Roman" w:hAnsi="Times New Roman" w:cs="Times New Roman"/>
          <w:lang w:val="bg-BG"/>
        </w:rPr>
        <w:t>т</w:t>
      </w:r>
      <w:r w:rsidRPr="00712AA8">
        <w:rPr>
          <w:rFonts w:ascii="Times New Roman" w:hAnsi="Times New Roman" w:cs="Times New Roman"/>
        </w:rPr>
        <w:t>a</w:t>
      </w:r>
      <w:r w:rsidRPr="00712AA8">
        <w:rPr>
          <w:rFonts w:ascii="Times New Roman" w:hAnsi="Times New Roman" w:cs="Times New Roman"/>
          <w:lang w:val="bg-BG"/>
        </w:rPr>
        <w:t xml:space="preserve"> регулация относно потенциалните ефекти на доминото. През 2012 г. Директива 2012/18/EС (Севезо III) заменя Директивата Seveso II като взема предвид промените в системата на ЕС в областта на класификацията на опасните вещества – по-специално Регламент № 1272/2008 относно класифицирането, определянето и опаковането на веществата и смесите и увеличените права на гражданите за достъп до информация и правосъдие.</w:t>
      </w:r>
    </w:p>
    <w:p w14:paraId="657E3BE1" w14:textId="77777777" w:rsidR="004F6C38" w:rsidRPr="00712AA8" w:rsidRDefault="004F6C38" w:rsidP="00712AA8">
      <w:pPr>
        <w:spacing w:before="120" w:after="120" w:line="264" w:lineRule="auto"/>
        <w:jc w:val="both"/>
        <w:rPr>
          <w:rFonts w:ascii="Times New Roman" w:hAnsi="Times New Roman" w:cs="Times New Roman"/>
          <w:lang w:val="bg-BG"/>
        </w:rPr>
      </w:pPr>
      <w:r w:rsidRPr="00712AA8">
        <w:rPr>
          <w:rFonts w:ascii="Times New Roman" w:hAnsi="Times New Roman" w:cs="Times New Roman"/>
          <w:lang w:val="bg-BG"/>
        </w:rPr>
        <w:t xml:space="preserve">Сега Директива Севезо </w:t>
      </w:r>
      <w:r w:rsidRPr="00712AA8">
        <w:rPr>
          <w:rFonts w:ascii="Times New Roman" w:hAnsi="Times New Roman" w:cs="Times New Roman"/>
        </w:rPr>
        <w:t>III</w:t>
      </w:r>
      <w:r w:rsidRPr="00712AA8">
        <w:rPr>
          <w:rFonts w:ascii="Times New Roman" w:hAnsi="Times New Roman" w:cs="Times New Roman"/>
          <w:lang w:val="bg-BG"/>
        </w:rPr>
        <w:t xml:space="preserve"> обхваща около 12 000 промишлени обекта в ЕС, в които опасни вещества се използват или съхраняват в големи количества, основно в сектора на химикалите, нефтопродуктите, съхранението и рафинирането на метали.</w:t>
      </w:r>
    </w:p>
    <w:p w14:paraId="36CC0D8A" w14:textId="77777777" w:rsidR="004F6C38" w:rsidRPr="00712AA8" w:rsidRDefault="004F6C38" w:rsidP="00712AA8">
      <w:pPr>
        <w:spacing w:before="120" w:after="120" w:line="264" w:lineRule="auto"/>
        <w:jc w:val="both"/>
        <w:rPr>
          <w:rFonts w:ascii="Times New Roman" w:hAnsi="Times New Roman" w:cs="Times New Roman"/>
          <w:lang w:val="bg-BG"/>
        </w:rPr>
      </w:pPr>
      <w:r w:rsidRPr="00712AA8">
        <w:rPr>
          <w:rFonts w:ascii="Times New Roman" w:hAnsi="Times New Roman" w:cs="Times New Roman"/>
          <w:lang w:val="bg-BG"/>
        </w:rPr>
        <w:t xml:space="preserve">Основен фокус на тази директива </w:t>
      </w:r>
      <w:r w:rsidRPr="00712AA8">
        <w:rPr>
          <w:rFonts w:ascii="Times New Roman" w:hAnsi="Times New Roman" w:cs="Times New Roman"/>
        </w:rPr>
        <w:t>e</w:t>
      </w:r>
      <w:r w:rsidRPr="00712AA8">
        <w:rPr>
          <w:rFonts w:ascii="Times New Roman" w:hAnsi="Times New Roman" w:cs="Times New Roman"/>
          <w:lang w:val="bg-BG"/>
        </w:rPr>
        <w:t xml:space="preserve"> създаването на цикъл на непрекъснато подобряване на превенцията, готовността и реагирането на големи аварии. Цикълът се затваря с осигуряване усвояването на опит от научени уроци (или извеждането на поуки). Директива Севезо </w:t>
      </w:r>
      <w:r w:rsidRPr="00712AA8">
        <w:rPr>
          <w:rFonts w:ascii="Times New Roman" w:hAnsi="Times New Roman" w:cs="Times New Roman"/>
        </w:rPr>
        <w:t>III</w:t>
      </w:r>
      <w:r w:rsidRPr="00712AA8">
        <w:rPr>
          <w:rFonts w:ascii="Times New Roman" w:hAnsi="Times New Roman" w:cs="Times New Roman"/>
          <w:lang w:val="bg-BG"/>
        </w:rPr>
        <w:t xml:space="preserve"> налага на компетентните органи редица задължения, като най-важните от тях са: да разглеждат и оценяват докладите за безопасност и да съобщават заключенията си на оператора, да проследяват изготвянето на външни аварийни планове, да гарантират, че обществеността, която има вероятност да бъде засегната, е информирана за мерките за безопасност, да извършват периодични инспекции, да идентифицират групите предприятия, при които са възможни „ефекти на доминото“ и да вземат предвид последиците от опасностите от големи аварии при планиране на използването на земята. </w:t>
      </w:r>
    </w:p>
    <w:p w14:paraId="70BCD195" w14:textId="77777777"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Устойчиво използване на пестициди</w:t>
      </w:r>
    </w:p>
    <w:p w14:paraId="16C12FCD" w14:textId="77777777"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Веществата, които се използват за потискане на развитието, премахване и предотвратяване на появата на организми, които се считат за вредни, са обединени под наименованието „пестициди“. Понятието включва както продуктите за растителна защита (ПРЗ) (използвани за растенията в селското стопанство, градинарството, парковете и градините), така и биоцидните продукти (които имат други видове приложения, например като дезинфектант или за защита на материалите). През 2009 г. беше приет пакет за пестицидите, който включва: Директива 2009/128/ЕО относно устойчивата употреба на пестицидите, с която се цели намаляване на екологичните и здравните рискове, като в същото време се запазват производителността на културите и се подобрява контролът върху използването и разпространението на пестициди; Регламент (ЕО) № 1107/2009 относно пускането на пазара на продукти за растителна защита; и Регламент (ЕО) № 1185/2009 относно статистиката за пестицидите, който определя правилата за събиране на информация за годишните количества пестициди, пуснати на пазара и използвани във всяка държава членка.</w:t>
      </w:r>
    </w:p>
    <w:p w14:paraId="0C5389E4" w14:textId="77777777"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С Директива 2009/128/EО се въвежда изискването държавите членки да приемат национални планове за действие за определяне на количествени и други цели, мерки и графици, с цел намаляване на риска и въздействието от използването на пестициди върху човешкото здраве и околната среда. Въздушното пръскане на земеделските култури е забранено по принцип, както и пръскането изобщо в непосредствена близост до жилищни зони. Регламентът, в който се разглежда производството и лицензирането на пестициди, съдържа позитивен списък с одобрени „активни вещества“ (химичните съставки на пестицидите), изготвен на равнището на ЕС. На базата на този списък пестицидите се лицензират на национално равнище.</w:t>
      </w:r>
    </w:p>
    <w:p w14:paraId="7F937675" w14:textId="77777777" w:rsidR="004F6C38" w:rsidRPr="00BD246F" w:rsidRDefault="004F6C38" w:rsidP="004F6C38">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През 2015 г. възниква сериозен спор във връзка с подновяването на одобрението за глифо</w:t>
      </w:r>
      <w:r>
        <w:rPr>
          <w:rFonts w:ascii="Times New Roman" w:eastAsia="Times New Roman" w:hAnsi="Times New Roman" w:cs="Times New Roman"/>
          <w:lang w:val="bg-BG"/>
        </w:rPr>
        <w:t>з</w:t>
      </w:r>
      <w:r w:rsidRPr="00BD246F">
        <w:rPr>
          <w:rFonts w:ascii="Times New Roman" w:eastAsia="Times New Roman" w:hAnsi="Times New Roman" w:cs="Times New Roman"/>
          <w:lang w:val="bg-BG"/>
        </w:rPr>
        <w:t>ат, едно от активните вещества, които се срещат най-често в широкоспектърните хербициди по света. Спорът е провокиран от разлики в оценките на канцерогенността: Международната агенция за изследвания в областта на раковите заболявания, клон на Световната здравна организация, класифицира глифо</w:t>
      </w:r>
      <w:r>
        <w:rPr>
          <w:rFonts w:ascii="Times New Roman" w:eastAsia="Times New Roman" w:hAnsi="Times New Roman" w:cs="Times New Roman"/>
          <w:lang w:val="bg-BG"/>
        </w:rPr>
        <w:t>з</w:t>
      </w:r>
      <w:r w:rsidRPr="00BD246F">
        <w:rPr>
          <w:rFonts w:ascii="Times New Roman" w:eastAsia="Times New Roman" w:hAnsi="Times New Roman" w:cs="Times New Roman"/>
          <w:lang w:val="bg-BG"/>
        </w:rPr>
        <w:t>ата като вероят</w:t>
      </w:r>
      <w:r>
        <w:rPr>
          <w:rFonts w:ascii="Times New Roman" w:eastAsia="Times New Roman" w:hAnsi="Times New Roman" w:cs="Times New Roman"/>
          <w:lang w:val="bg-BG"/>
        </w:rPr>
        <w:t>ен</w:t>
      </w:r>
      <w:r w:rsidRPr="00BD246F">
        <w:rPr>
          <w:rFonts w:ascii="Times New Roman" w:eastAsia="Times New Roman" w:hAnsi="Times New Roman" w:cs="Times New Roman"/>
          <w:lang w:val="bg-BG"/>
        </w:rPr>
        <w:t xml:space="preserve"> канцерогенен за човека, докато според Европейския орган за безопасност на храните е малко вероятно той да представлява канцерогенен риск за човека. Европейската агенция по химикали по-късно излиза със заключение, че глифо</w:t>
      </w:r>
      <w:r>
        <w:rPr>
          <w:rFonts w:ascii="Times New Roman" w:eastAsia="Times New Roman" w:hAnsi="Times New Roman" w:cs="Times New Roman"/>
          <w:lang w:val="bg-BG"/>
        </w:rPr>
        <w:t>з</w:t>
      </w:r>
      <w:r w:rsidRPr="00BD246F">
        <w:rPr>
          <w:rFonts w:ascii="Times New Roman" w:eastAsia="Times New Roman" w:hAnsi="Times New Roman" w:cs="Times New Roman"/>
          <w:lang w:val="bg-BG"/>
        </w:rPr>
        <w:t>атът не принадлежи към групата на канцерогенните вещества. Няколко национални органи в страни извън ЕС също достигат до това заключение. В резултат ЕК подновява  одобрението на глифо</w:t>
      </w:r>
      <w:r>
        <w:rPr>
          <w:rFonts w:ascii="Times New Roman" w:eastAsia="Times New Roman" w:hAnsi="Times New Roman" w:cs="Times New Roman"/>
          <w:lang w:val="bg-BG"/>
        </w:rPr>
        <w:t>з</w:t>
      </w:r>
      <w:r w:rsidRPr="00BD246F">
        <w:rPr>
          <w:rFonts w:ascii="Times New Roman" w:eastAsia="Times New Roman" w:hAnsi="Times New Roman" w:cs="Times New Roman"/>
          <w:lang w:val="bg-BG"/>
        </w:rPr>
        <w:t>ата за период от пет години през декември 2017 г.</w:t>
      </w:r>
    </w:p>
    <w:p w14:paraId="029204B5" w14:textId="77777777"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Биоцидни продукти</w:t>
      </w:r>
    </w:p>
    <w:p w14:paraId="36CB4C07" w14:textId="74C95D09"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През 2013 г. влезе в сила Регламент (ЕС) № 528/2012, чиято цел беше опростяване на механизмите за получаване на разрешение и засилване на ролята на ECHA при преразглеждането на досиетата за одобрение на базата на по-строги условия. Законодателният текст отразява установеното при предишния режим с контрола върху пускането на пазара и използването на биоцидни продукти (т.е. неселскостопански пестициди, като антибактериални дезинфектанти и спрейове против насекоми) с цел управление на съответните рискове за околната среда и здравето на хората и животните. Тези вещества се одобряват само ако са включени в позитивен списък, а най-токсичните химични вещества са забранени — особено тези, които са канцерогенни или вредят на плодовитостта или променят гените или хормоните (ендокринни нарушители). В съответствие с принципа на взаимното признаване, вещество, което е разрешено в една държава членка, може да се използва навсякъде в ЕС. С Регламент (ЕО) № 1107/2009 се установяват научни критерии за определянето на свойствата, нарушаващи ендокринната система на биоцидните продукти, както и на продуктите за растителна защита.</w:t>
      </w:r>
    </w:p>
    <w:p w14:paraId="30306BD5" w14:textId="77777777" w:rsidR="00E80523" w:rsidRPr="00BD246F" w:rsidRDefault="00E80523" w:rsidP="00E80523">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Устойчиви органични замърсители</w:t>
      </w:r>
    </w:p>
    <w:p w14:paraId="49923F2D" w14:textId="77777777" w:rsidR="000B6410" w:rsidRPr="00BD246F" w:rsidRDefault="000B6410" w:rsidP="000B6410">
      <w:pPr>
        <w:spacing w:before="120" w:after="120" w:line="264" w:lineRule="auto"/>
        <w:jc w:val="both"/>
        <w:rPr>
          <w:rFonts w:ascii="Times New Roman" w:eastAsia="Times New Roman" w:hAnsi="Times New Roman" w:cs="Times New Roman"/>
          <w:lang w:val="bg-BG"/>
        </w:rPr>
      </w:pPr>
      <w:r w:rsidRPr="00BD246F">
        <w:rPr>
          <w:rFonts w:ascii="Times New Roman" w:eastAsia="Times New Roman" w:hAnsi="Times New Roman" w:cs="Times New Roman"/>
          <w:lang w:val="bg-BG"/>
        </w:rPr>
        <w:t xml:space="preserve">Устойчивите органични замърсители са химични вещества, които се задържат в околната среда поради устойчивостта си на различните форми на разпадане (химично, биологично, и др.). Те се биоакумулират чрез хранителната верига и могат да имат вредно въздействие върху човешкото здраве и околната среда. Тази група приоритетни замърсители се състои от пестициди (като ДДТ), индустриални химикали (като полихлорирани бифенили) и непреднамерено получени вторични продукти от промишлени процеси (като диоксини и фурани). ЕС е поел ангажимент на международно равнище за упражняване на контрол върху работата с устойчиви органични замърсители, техния износ и внос (чрез забрани или ограничения) в рамките на Протокола от Орхус за устойчивите органични замърсители към Женевската конвенция за трансгранично замърсяване на въздуха на далечни разстояния (в сила от 2003 г.) и Стокхолмска конвенция за устойчивите органични замърсители (в сила от 2004 г.). ЕС постигна допълнителен напредък с </w:t>
      </w:r>
      <w:hyperlink r:id="rId9" w:history="1">
        <w:r w:rsidRPr="00BD246F">
          <w:rPr>
            <w:rFonts w:ascii="Times New Roman" w:eastAsia="Times New Roman" w:hAnsi="Times New Roman" w:cs="Times New Roman"/>
            <w:color w:val="0000FF"/>
            <w:u w:val="single"/>
            <w:lang w:val="bg-BG"/>
          </w:rPr>
          <w:t>Регламент (EО) № 850/2004</w:t>
        </w:r>
      </w:hyperlink>
      <w:r w:rsidRPr="00BD246F">
        <w:rPr>
          <w:rFonts w:ascii="Times New Roman" w:eastAsia="Times New Roman" w:hAnsi="Times New Roman" w:cs="Times New Roman"/>
          <w:lang w:val="bg-BG"/>
        </w:rPr>
        <w:t xml:space="preserve">, </w:t>
      </w:r>
      <w:r>
        <w:rPr>
          <w:rFonts w:ascii="Times New Roman" w:eastAsia="Times New Roman" w:hAnsi="Times New Roman" w:cs="Times New Roman"/>
          <w:lang w:val="bg-BG"/>
        </w:rPr>
        <w:t xml:space="preserve">заменен с </w:t>
      </w:r>
      <w:r w:rsidRPr="001E7991">
        <w:rPr>
          <w:rFonts w:ascii="Times New Roman" w:eastAsia="Times New Roman" w:hAnsi="Times New Roman" w:cs="Times New Roman"/>
          <w:lang w:val="bg-BG"/>
        </w:rPr>
        <w:t>Регламент (E</w:t>
      </w:r>
      <w:r>
        <w:rPr>
          <w:rFonts w:ascii="Times New Roman" w:eastAsia="Times New Roman" w:hAnsi="Times New Roman" w:cs="Times New Roman"/>
          <w:lang w:val="bg-BG"/>
        </w:rPr>
        <w:t>С</w:t>
      </w:r>
      <w:r w:rsidRPr="001E7991">
        <w:rPr>
          <w:rFonts w:ascii="Times New Roman" w:eastAsia="Times New Roman" w:hAnsi="Times New Roman" w:cs="Times New Roman"/>
          <w:lang w:val="bg-BG"/>
        </w:rPr>
        <w:t>) №</w:t>
      </w:r>
      <w:r>
        <w:rPr>
          <w:rFonts w:ascii="Times New Roman" w:eastAsia="Times New Roman" w:hAnsi="Times New Roman" w:cs="Times New Roman"/>
          <w:lang w:val="bg-BG"/>
        </w:rPr>
        <w:t xml:space="preserve"> 2019/1021, </w:t>
      </w:r>
      <w:r w:rsidRPr="00BD246F">
        <w:rPr>
          <w:rFonts w:ascii="Times New Roman" w:eastAsia="Times New Roman" w:hAnsi="Times New Roman" w:cs="Times New Roman"/>
          <w:lang w:val="bg-BG"/>
        </w:rPr>
        <w:t>който допълни по-старото законодателство на ЕС за устойчивите органични замърсители и го приведе в съответствие с разпоредбите на международните споразумения.</w:t>
      </w:r>
    </w:p>
    <w:p w14:paraId="22792CBF" w14:textId="77777777" w:rsidR="00BD246F" w:rsidRPr="00BD246F" w:rsidRDefault="00BD246F" w:rsidP="00BD246F">
      <w:pPr>
        <w:spacing w:before="120" w:after="120" w:line="264" w:lineRule="auto"/>
        <w:jc w:val="both"/>
        <w:rPr>
          <w:rFonts w:ascii="Times New Roman" w:hAnsi="Times New Roman" w:cs="Times New Roman"/>
          <w:b/>
          <w:lang w:val="bg-BG"/>
        </w:rPr>
      </w:pPr>
      <w:r w:rsidRPr="00BD246F">
        <w:rPr>
          <w:rFonts w:ascii="Times New Roman" w:hAnsi="Times New Roman" w:cs="Times New Roman"/>
          <w:lang w:val="bg-BG"/>
        </w:rPr>
        <w:t xml:space="preserve">Прилагането на изискванията на законодателството, свързани с информиране на обществеността налага </w:t>
      </w:r>
      <w:r w:rsidRPr="00BD246F">
        <w:rPr>
          <w:rFonts w:ascii="Times New Roman" w:hAnsi="Times New Roman" w:cs="Times New Roman"/>
          <w:b/>
          <w:lang w:val="bg-BG"/>
        </w:rPr>
        <w:t>провеждането на информационни кампании с различни групи на обществеността, включително и разработване на информационни материали насочени към опазване на човешкото здраве и околната среда от вредното въздействие на химикалите.</w:t>
      </w:r>
    </w:p>
    <w:p w14:paraId="1DB650E3" w14:textId="77777777" w:rsidR="00BD246F" w:rsidRPr="00BD246F" w:rsidRDefault="00BD246F" w:rsidP="00BD246F">
      <w:pPr>
        <w:spacing w:before="120" w:after="120" w:line="264" w:lineRule="auto"/>
        <w:jc w:val="both"/>
        <w:rPr>
          <w:rFonts w:ascii="Times New Roman" w:eastAsia="Times New Roman" w:hAnsi="Times New Roman" w:cs="Times New Roman"/>
          <w:lang w:val="bg-BG" w:eastAsia="en-GB"/>
        </w:rPr>
      </w:pPr>
      <w:r w:rsidRPr="00BD246F">
        <w:rPr>
          <w:rFonts w:ascii="Times New Roman" w:eastAsia="Times New Roman" w:hAnsi="Times New Roman" w:cs="Times New Roman"/>
          <w:lang w:val="bg-BG" w:eastAsia="en-GB"/>
        </w:rPr>
        <w:t>Политиката по управление на химикалите се състои от комплекс превантивни инструменти за управление на рисковете от химикали при тяхното производство, употреба, съхранение, пускане на пазара, внос и износ в самостоятелен вид, в състава на смеси и в изделия, което включва прилагането на процедури на ниво ЕС, свързани с:</w:t>
      </w:r>
    </w:p>
    <w:p w14:paraId="7649E276" w14:textId="77777777" w:rsidR="00BD246F" w:rsidRPr="00712AA8" w:rsidRDefault="00BD246F" w:rsidP="00BD246F">
      <w:pPr>
        <w:numPr>
          <w:ilvl w:val="0"/>
          <w:numId w:val="29"/>
        </w:numPr>
        <w:spacing w:before="120" w:after="120" w:line="264" w:lineRule="auto"/>
        <w:jc w:val="both"/>
        <w:rPr>
          <w:rFonts w:ascii="Times New Roman" w:eastAsia="Times New Roman" w:hAnsi="Times New Roman" w:cs="Times New Roman"/>
          <w:lang w:val="bg-BG" w:eastAsia="en-GB"/>
        </w:rPr>
      </w:pPr>
      <w:r w:rsidRPr="00712AA8">
        <w:rPr>
          <w:rFonts w:ascii="Times New Roman" w:eastAsia="Times New Roman" w:hAnsi="Times New Roman" w:cs="Times New Roman"/>
          <w:lang w:val="bg-BG" w:eastAsia="en-GB"/>
        </w:rPr>
        <w:t>регистрация, оценка, разрешаване и ограничаване на химикали, съгласно Регламент (EO) 1907/2006 (REACH);</w:t>
      </w:r>
    </w:p>
    <w:p w14:paraId="0B81CC72" w14:textId="3FCFAEB1" w:rsidR="00BD246F" w:rsidRPr="00712AA8" w:rsidRDefault="00BD246F" w:rsidP="00BD246F">
      <w:pPr>
        <w:numPr>
          <w:ilvl w:val="0"/>
          <w:numId w:val="29"/>
        </w:numPr>
        <w:spacing w:before="120" w:after="120" w:line="264" w:lineRule="auto"/>
        <w:jc w:val="both"/>
        <w:rPr>
          <w:rFonts w:ascii="Times New Roman" w:eastAsia="Times New Roman" w:hAnsi="Times New Roman" w:cs="Times New Roman"/>
          <w:lang w:val="bg-BG" w:eastAsia="en-GB"/>
        </w:rPr>
      </w:pPr>
      <w:r w:rsidRPr="00712AA8">
        <w:rPr>
          <w:rFonts w:ascii="Times New Roman" w:eastAsia="Times New Roman" w:hAnsi="Times New Roman" w:cs="Times New Roman"/>
          <w:lang w:val="bg-BG" w:eastAsia="en-GB"/>
        </w:rPr>
        <w:t>класификация, етикетиране и опаковане на химични вещества и смеси, съгласно Регламент (EO) 1272/2008 (CLP);</w:t>
      </w:r>
    </w:p>
    <w:p w14:paraId="02362ECF" w14:textId="77777777" w:rsidR="004D2AC4" w:rsidRPr="00712AA8" w:rsidRDefault="004D2AC4" w:rsidP="004D2AC4">
      <w:pPr>
        <w:numPr>
          <w:ilvl w:val="0"/>
          <w:numId w:val="29"/>
        </w:numPr>
        <w:spacing w:before="100" w:beforeAutospacing="1" w:after="100" w:afterAutospacing="1" w:line="240" w:lineRule="auto"/>
        <w:rPr>
          <w:rFonts w:ascii="Times New Roman" w:eastAsia="Times New Roman" w:hAnsi="Times New Roman" w:cs="Times New Roman"/>
          <w:lang w:val="ru-RU"/>
        </w:rPr>
      </w:pPr>
      <w:r w:rsidRPr="00712AA8">
        <w:rPr>
          <w:rFonts w:ascii="Times New Roman" w:eastAsia="Times New Roman" w:hAnsi="Times New Roman" w:cs="Times New Roman"/>
          <w:lang w:val="ru-RU"/>
        </w:rPr>
        <w:t>уведомяване за износа и контрол на вноса на определени опасни химикали, съгласно Регламент (</w:t>
      </w:r>
      <w:r w:rsidRPr="00712AA8">
        <w:rPr>
          <w:rFonts w:ascii="Times New Roman" w:eastAsia="Times New Roman" w:hAnsi="Times New Roman" w:cs="Times New Roman"/>
        </w:rPr>
        <w:t>EO</w:t>
      </w:r>
      <w:r w:rsidRPr="00712AA8">
        <w:rPr>
          <w:rFonts w:ascii="Times New Roman" w:eastAsia="Times New Roman" w:hAnsi="Times New Roman" w:cs="Times New Roman"/>
          <w:lang w:val="ru-RU"/>
        </w:rPr>
        <w:t>) 649/2012 (</w:t>
      </w:r>
      <w:r w:rsidRPr="00712AA8">
        <w:rPr>
          <w:rFonts w:ascii="Times New Roman" w:eastAsia="Times New Roman" w:hAnsi="Times New Roman" w:cs="Times New Roman"/>
        </w:rPr>
        <w:t>PIC</w:t>
      </w:r>
      <w:r w:rsidRPr="00712AA8">
        <w:rPr>
          <w:rFonts w:ascii="Times New Roman" w:eastAsia="Times New Roman" w:hAnsi="Times New Roman" w:cs="Times New Roman"/>
          <w:lang w:val="ru-RU"/>
        </w:rPr>
        <w:t>);</w:t>
      </w:r>
    </w:p>
    <w:p w14:paraId="70FC5315" w14:textId="77777777" w:rsidR="00BD246F" w:rsidRPr="00712AA8" w:rsidRDefault="00BD246F" w:rsidP="00BD246F">
      <w:pPr>
        <w:numPr>
          <w:ilvl w:val="0"/>
          <w:numId w:val="29"/>
        </w:numPr>
        <w:spacing w:before="120" w:after="120" w:line="264" w:lineRule="auto"/>
        <w:jc w:val="both"/>
        <w:rPr>
          <w:rFonts w:ascii="Times New Roman" w:eastAsia="Times New Roman" w:hAnsi="Times New Roman" w:cs="Times New Roman"/>
          <w:lang w:val="bg-BG" w:eastAsia="en-GB"/>
        </w:rPr>
      </w:pPr>
      <w:r w:rsidRPr="00712AA8">
        <w:rPr>
          <w:rFonts w:ascii="Times New Roman" w:eastAsia="Times New Roman" w:hAnsi="Times New Roman" w:cs="Times New Roman"/>
          <w:lang w:val="bg-BG" w:eastAsia="en-GB"/>
        </w:rPr>
        <w:t>ограничаване на производството, употребата и пускането на пазара на устойчиви органични замърсители, съгласно Регламент (EO) 2019/1021 (УОЗ);</w:t>
      </w:r>
    </w:p>
    <w:p w14:paraId="1B0C5214" w14:textId="77777777" w:rsidR="00BD246F" w:rsidRPr="00712AA8" w:rsidRDefault="00BD246F" w:rsidP="00BD246F">
      <w:pPr>
        <w:numPr>
          <w:ilvl w:val="0"/>
          <w:numId w:val="29"/>
        </w:numPr>
        <w:spacing w:before="120" w:after="120" w:line="264" w:lineRule="auto"/>
        <w:jc w:val="both"/>
        <w:rPr>
          <w:rFonts w:ascii="Times New Roman" w:eastAsia="Times New Roman" w:hAnsi="Times New Roman" w:cs="Times New Roman"/>
          <w:lang w:val="bg-BG" w:eastAsia="en-GB"/>
        </w:rPr>
      </w:pPr>
      <w:r w:rsidRPr="00712AA8">
        <w:rPr>
          <w:rFonts w:ascii="Times New Roman" w:eastAsia="Times New Roman" w:hAnsi="Times New Roman" w:cs="Times New Roman"/>
          <w:lang w:val="bg-BG" w:eastAsia="en-GB"/>
        </w:rPr>
        <w:t>ограничаване вноса на живак и смеси на живака; забрана на износа на живак, някои продукти с добавен живак; употребата на живак в някои производствени процеси; нови видове употреба на живак в продукти и производствени процеси и употребата на живак в ръчен и дребномащабен добив на злато, съгласно Регламент (EO) 2017/852;</w:t>
      </w:r>
    </w:p>
    <w:p w14:paraId="42B59013" w14:textId="77777777" w:rsidR="00BD246F" w:rsidRPr="00712AA8" w:rsidRDefault="00BD246F" w:rsidP="00BD246F">
      <w:pPr>
        <w:numPr>
          <w:ilvl w:val="0"/>
          <w:numId w:val="29"/>
        </w:numPr>
        <w:spacing w:before="120" w:after="120" w:line="264" w:lineRule="auto"/>
        <w:jc w:val="both"/>
        <w:rPr>
          <w:rFonts w:ascii="Times New Roman" w:eastAsia="Times New Roman" w:hAnsi="Times New Roman" w:cs="Times New Roman"/>
          <w:lang w:val="bg-BG" w:eastAsia="en-GB"/>
        </w:rPr>
      </w:pPr>
      <w:r w:rsidRPr="00712AA8">
        <w:rPr>
          <w:rFonts w:ascii="Times New Roman" w:eastAsia="Times New Roman" w:hAnsi="Times New Roman" w:cs="Times New Roman"/>
          <w:lang w:val="bg-BG" w:eastAsia="en-GB"/>
        </w:rPr>
        <w:t>изисквания относно биоразградимост на повърхностно активни вещества в детергенти и ограничаването на съдържанието на фосфати в състава на пуснатите на пазара детергенти, съгласно Регламент (EO) 648/2004 и Регламент (EO) 259/2012;</w:t>
      </w:r>
    </w:p>
    <w:p w14:paraId="4A64F554" w14:textId="77777777" w:rsidR="00BD246F" w:rsidRPr="00712AA8" w:rsidRDefault="00BD246F" w:rsidP="00BD246F">
      <w:pPr>
        <w:numPr>
          <w:ilvl w:val="0"/>
          <w:numId w:val="29"/>
        </w:numPr>
        <w:spacing w:before="120" w:after="120" w:line="264" w:lineRule="auto"/>
        <w:jc w:val="both"/>
        <w:rPr>
          <w:rFonts w:ascii="Times New Roman" w:eastAsia="Times New Roman" w:hAnsi="Times New Roman" w:cs="Times New Roman"/>
          <w:lang w:val="bg-BG" w:eastAsia="en-GB"/>
        </w:rPr>
      </w:pPr>
      <w:r w:rsidRPr="00712AA8">
        <w:rPr>
          <w:rFonts w:ascii="Times New Roman" w:eastAsia="Times New Roman" w:hAnsi="Times New Roman" w:cs="Times New Roman"/>
          <w:lang w:val="bg-BG" w:eastAsia="en-GB"/>
        </w:rPr>
        <w:t>ограничаване употребата на определени опасни вещества в електрическото и електронното оборудване съгласно Директива 2011/65/ЕС (RoHS-2);</w:t>
      </w:r>
    </w:p>
    <w:p w14:paraId="1E247BD9" w14:textId="7AF87F75" w:rsidR="00BD246F" w:rsidRPr="00712AA8" w:rsidRDefault="00BD246F" w:rsidP="00BD246F">
      <w:pPr>
        <w:numPr>
          <w:ilvl w:val="0"/>
          <w:numId w:val="29"/>
        </w:numPr>
        <w:spacing w:before="120" w:after="120" w:line="264" w:lineRule="auto"/>
        <w:jc w:val="both"/>
        <w:rPr>
          <w:rFonts w:ascii="Times New Roman" w:eastAsia="Times New Roman" w:hAnsi="Times New Roman" w:cs="Times New Roman"/>
          <w:lang w:val="bg-BG" w:eastAsia="en-GB"/>
        </w:rPr>
      </w:pPr>
      <w:r w:rsidRPr="00712AA8">
        <w:rPr>
          <w:rFonts w:ascii="Times New Roman" w:eastAsia="Times New Roman" w:hAnsi="Times New Roman" w:cs="Times New Roman"/>
          <w:lang w:val="bg-BG" w:eastAsia="en-GB"/>
        </w:rPr>
        <w:t>изисквания за съхранението на опасни химични вещества и смеси, и контрол на опасните вещества, чието производство, употреба или пускане на пазара са предмет на ограничение, съгласно Регламент REACH.</w:t>
      </w:r>
    </w:p>
    <w:p w14:paraId="2E0A6545" w14:textId="11CF8688" w:rsidR="001D69E7" w:rsidRPr="00BD246F" w:rsidRDefault="001D69E7" w:rsidP="00ED1556">
      <w:pPr>
        <w:pStyle w:val="Heading2"/>
        <w:rPr>
          <w:rFonts w:eastAsia="Times New Roman"/>
          <w:lang w:val="bg-BG"/>
        </w:rPr>
      </w:pPr>
      <w:bookmarkStart w:id="5" w:name="_Toc74125048"/>
      <w:r w:rsidRPr="00BD246F">
        <w:rPr>
          <w:rFonts w:eastAsia="Times New Roman"/>
          <w:lang w:val="bg-BG"/>
        </w:rPr>
        <w:t>Тенденции и предизвикателства</w:t>
      </w:r>
      <w:bookmarkEnd w:id="5"/>
    </w:p>
    <w:p w14:paraId="18F4D8C8" w14:textId="62E43440" w:rsidR="000B6410" w:rsidRPr="00BD246F" w:rsidRDefault="000B6410" w:rsidP="000B6410">
      <w:pPr>
        <w:spacing w:before="120" w:after="120" w:line="264" w:lineRule="auto"/>
        <w:jc w:val="both"/>
        <w:rPr>
          <w:rFonts w:ascii="Times New Roman" w:hAnsi="Times New Roman" w:cs="Times New Roman"/>
          <w:lang w:val="bg-BG"/>
        </w:rPr>
      </w:pPr>
      <w:r w:rsidRPr="00BD246F">
        <w:rPr>
          <w:rFonts w:ascii="Times New Roman" w:hAnsi="Times New Roman" w:cs="Times New Roman"/>
          <w:b/>
          <w:lang w:val="bg-BG"/>
        </w:rPr>
        <w:t>Устойчивото управление на химикалите изисква тясно сътрудничество и взаимодействие между много институции и организации</w:t>
      </w:r>
      <w:r w:rsidR="00037BA0">
        <w:rPr>
          <w:rStyle w:val="FootnoteReference"/>
          <w:rFonts w:ascii="Times New Roman" w:hAnsi="Times New Roman" w:cs="Times New Roman"/>
          <w:b/>
          <w:lang w:val="bg-BG"/>
        </w:rPr>
        <w:footnoteReference w:id="16"/>
      </w:r>
      <w:r w:rsidRPr="00BD246F">
        <w:rPr>
          <w:rFonts w:ascii="Times New Roman" w:hAnsi="Times New Roman" w:cs="Times New Roman"/>
          <w:b/>
          <w:lang w:val="bg-BG"/>
        </w:rPr>
        <w:t>, имащи отношение към целия жизнен цикъл на химикалите.</w:t>
      </w:r>
      <w:r w:rsidRPr="00BD246F">
        <w:rPr>
          <w:rFonts w:ascii="Times New Roman" w:hAnsi="Times New Roman" w:cs="Times New Roman"/>
          <w:lang w:val="bg-BG"/>
        </w:rPr>
        <w:t xml:space="preserve"> Осъществяването на ефективен контрол върху предприятията налага единни и синхронизирани действия от пряко отговорните за това институции.</w:t>
      </w:r>
    </w:p>
    <w:p w14:paraId="042D2290" w14:textId="5DABFE5B" w:rsidR="000B6410" w:rsidRDefault="000B6410" w:rsidP="000B6410">
      <w:pPr>
        <w:spacing w:before="120" w:after="120" w:line="264" w:lineRule="auto"/>
        <w:jc w:val="both"/>
        <w:rPr>
          <w:rFonts w:ascii="Times New Roman" w:hAnsi="Times New Roman" w:cs="Times New Roman"/>
          <w:bCs/>
          <w:lang w:val="bg-BG"/>
        </w:rPr>
      </w:pPr>
      <w:r w:rsidRPr="00BD246F">
        <w:rPr>
          <w:rFonts w:ascii="Times New Roman" w:hAnsi="Times New Roman" w:cs="Times New Roman"/>
          <w:lang w:val="bg-BG"/>
        </w:rPr>
        <w:t xml:space="preserve">Много важен аспект от прилагането на  законодателството по управление на химикалите е информирането и обучението на </w:t>
      </w:r>
      <w:r w:rsidRPr="00BD246F">
        <w:rPr>
          <w:rFonts w:ascii="Times New Roman" w:hAnsi="Times New Roman" w:cs="Times New Roman"/>
          <w:bCs/>
          <w:lang w:val="bg-BG"/>
        </w:rPr>
        <w:t>индустрията и подготовката й за изпълнение на изискванията и стандартите, свързани с химикалите.</w:t>
      </w:r>
      <w:r>
        <w:rPr>
          <w:rFonts w:ascii="Times New Roman" w:hAnsi="Times New Roman" w:cs="Times New Roman"/>
          <w:bCs/>
          <w:lang w:val="bg-BG"/>
        </w:rPr>
        <w:t xml:space="preserve"> За целта се провеждат ежегодни семинари с индустрията с цел запознаване с най-новите изисквания и текущи промени в законодателството.</w:t>
      </w:r>
    </w:p>
    <w:p w14:paraId="68EB6702" w14:textId="3E60030F" w:rsidR="00CE38C4" w:rsidRPr="00CE38C4" w:rsidRDefault="00CE38C4" w:rsidP="00CE38C4">
      <w:pPr>
        <w:jc w:val="both"/>
        <w:rPr>
          <w:rFonts w:ascii="Times New Roman" w:hAnsi="Times New Roman" w:cs="Times New Roman"/>
          <w:lang w:val="bg-BG"/>
        </w:rPr>
      </w:pPr>
      <w:r w:rsidRPr="00CE38C4">
        <w:rPr>
          <w:rFonts w:ascii="Times New Roman" w:hAnsi="Times New Roman" w:cs="Times New Roman"/>
          <w:iCs/>
          <w:lang w:val="bg-BG"/>
        </w:rPr>
        <w:t>Законът за защита от вредното въздействие на химичните вещества и препарати</w:t>
      </w:r>
      <w:r w:rsidRPr="00CE38C4">
        <w:rPr>
          <w:rFonts w:ascii="Times New Roman" w:hAnsi="Times New Roman" w:cs="Times New Roman"/>
          <w:lang w:val="bg-BG"/>
        </w:rPr>
        <w:t xml:space="preserve"> определя Министерство на околната среда и водите и Министерство на здравеопазването </w:t>
      </w:r>
      <w:r w:rsidRPr="00CE38C4">
        <w:rPr>
          <w:rFonts w:ascii="Times New Roman" w:hAnsi="Times New Roman" w:cs="Times New Roman"/>
          <w:bCs/>
          <w:lang w:val="bg-BG"/>
        </w:rPr>
        <w:t>като</w:t>
      </w:r>
      <w:r w:rsidRPr="00CE38C4">
        <w:rPr>
          <w:rFonts w:ascii="Times New Roman" w:hAnsi="Times New Roman" w:cs="Times New Roman"/>
          <w:b/>
          <w:lang w:val="bg-BG"/>
        </w:rPr>
        <w:t xml:space="preserve"> </w:t>
      </w:r>
      <w:r w:rsidRPr="00CE38C4">
        <w:rPr>
          <w:rFonts w:ascii="Times New Roman" w:hAnsi="Times New Roman" w:cs="Times New Roman"/>
          <w:lang w:val="bg-BG"/>
        </w:rPr>
        <w:t>компетентни органи по прилагане на законодателството в областта на химикалите, а регионалните структури към МОСВ, МЗ, МЗХ</w:t>
      </w:r>
      <w:r>
        <w:rPr>
          <w:rFonts w:ascii="Times New Roman" w:hAnsi="Times New Roman" w:cs="Times New Roman"/>
          <w:lang w:val="bg-BG"/>
        </w:rPr>
        <w:t>Г</w:t>
      </w:r>
      <w:r w:rsidRPr="00CE38C4">
        <w:rPr>
          <w:rFonts w:ascii="Times New Roman" w:hAnsi="Times New Roman" w:cs="Times New Roman"/>
          <w:lang w:val="bg-BG"/>
        </w:rPr>
        <w:t xml:space="preserve">, ИА </w:t>
      </w:r>
      <w:r>
        <w:rPr>
          <w:rFonts w:ascii="Times New Roman" w:hAnsi="Times New Roman" w:cs="Times New Roman"/>
          <w:lang w:val="bg-BG"/>
        </w:rPr>
        <w:t>„</w:t>
      </w:r>
      <w:r w:rsidRPr="00CE38C4">
        <w:rPr>
          <w:rFonts w:ascii="Times New Roman" w:hAnsi="Times New Roman" w:cs="Times New Roman"/>
          <w:lang w:val="bg-BG"/>
        </w:rPr>
        <w:t>ГИТ</w:t>
      </w:r>
      <w:r>
        <w:rPr>
          <w:rFonts w:ascii="Times New Roman" w:hAnsi="Times New Roman" w:cs="Times New Roman"/>
          <w:lang w:val="bg-BG"/>
        </w:rPr>
        <w:t>“</w:t>
      </w:r>
      <w:r w:rsidRPr="00CE38C4">
        <w:rPr>
          <w:rFonts w:ascii="Times New Roman" w:hAnsi="Times New Roman" w:cs="Times New Roman"/>
          <w:lang w:val="bg-BG"/>
        </w:rPr>
        <w:t xml:space="preserve">, Агенция </w:t>
      </w:r>
      <w:r>
        <w:rPr>
          <w:rFonts w:ascii="Times New Roman" w:hAnsi="Times New Roman" w:cs="Times New Roman"/>
          <w:lang w:val="bg-BG"/>
        </w:rPr>
        <w:t>„</w:t>
      </w:r>
      <w:r w:rsidRPr="00CE38C4">
        <w:rPr>
          <w:rFonts w:ascii="Times New Roman" w:hAnsi="Times New Roman" w:cs="Times New Roman"/>
          <w:lang w:val="bg-BG"/>
        </w:rPr>
        <w:t>Митници</w:t>
      </w:r>
      <w:r>
        <w:rPr>
          <w:rFonts w:ascii="Times New Roman" w:hAnsi="Times New Roman" w:cs="Times New Roman"/>
          <w:lang w:val="bg-BG"/>
        </w:rPr>
        <w:t>“</w:t>
      </w:r>
      <w:r w:rsidRPr="00CE38C4">
        <w:rPr>
          <w:rFonts w:ascii="Times New Roman" w:hAnsi="Times New Roman" w:cs="Times New Roman"/>
          <w:b/>
          <w:bCs/>
          <w:lang w:val="bg-BG"/>
        </w:rPr>
        <w:t xml:space="preserve"> </w:t>
      </w:r>
      <w:r w:rsidRPr="00CE38C4">
        <w:rPr>
          <w:rFonts w:ascii="Times New Roman" w:hAnsi="Times New Roman" w:cs="Times New Roman"/>
          <w:lang w:val="bg-BG"/>
        </w:rPr>
        <w:t xml:space="preserve">са оправомощени да осъществяват контрол върху производството, употребата, пускането на пазара и износа на химични вещества в самостоятелен вид, в препарати и в изделия. </w:t>
      </w:r>
    </w:p>
    <w:p w14:paraId="5293A0BD" w14:textId="6206E3E7" w:rsidR="000B6410" w:rsidRPr="004B41E3" w:rsidRDefault="000B6410" w:rsidP="000B6410">
      <w:pPr>
        <w:pStyle w:val="NormalWeb"/>
        <w:spacing w:before="120" w:beforeAutospacing="0" w:after="120" w:afterAutospacing="0" w:line="264" w:lineRule="auto"/>
        <w:jc w:val="both"/>
        <w:rPr>
          <w:rFonts w:eastAsia="Times New Roman"/>
          <w:sz w:val="22"/>
          <w:szCs w:val="22"/>
          <w:lang w:eastAsia="en-GB"/>
        </w:rPr>
      </w:pPr>
      <w:r w:rsidRPr="004B41E3">
        <w:rPr>
          <w:bCs/>
          <w:sz w:val="22"/>
          <w:szCs w:val="22"/>
        </w:rPr>
        <w:t xml:space="preserve">В България е създадено </w:t>
      </w:r>
      <w:r w:rsidRPr="004B41E3">
        <w:rPr>
          <w:rFonts w:eastAsia="Times New Roman"/>
          <w:sz w:val="22"/>
          <w:szCs w:val="22"/>
          <w:lang w:eastAsia="en-GB"/>
        </w:rPr>
        <w:t>Националното информационно бюро по химикали. Целите са да (1) осигурява информация относно основните задължения на физически и юридически лица, произтичащи от разпоредбите на Регламент REACH относно регистрацията, оценката, разрешаването и ограничаването на химикали; Регламент CLP за класифицирането, етикетирането и опаковането на вещества и смеси; Директива СЕВЕЗО за контрол на риска от големи аварии, както и друго приложимо законодателство в областта на химикалите (детергенти, износ и внос на определени опасни вещества, съхранение на химикали, устойчиви органични замърсители, ограничени вещества за употреба е електрическо и електронно оборудване</w:t>
      </w:r>
      <w:r w:rsidR="004575FB">
        <w:rPr>
          <w:rStyle w:val="FootnoteReference"/>
          <w:rFonts w:eastAsia="Times New Roman"/>
          <w:sz w:val="22"/>
          <w:szCs w:val="22"/>
          <w:lang w:eastAsia="en-GB"/>
        </w:rPr>
        <w:footnoteReference w:id="17"/>
      </w:r>
      <w:r w:rsidRPr="004B41E3">
        <w:rPr>
          <w:rFonts w:eastAsia="Times New Roman"/>
          <w:sz w:val="22"/>
          <w:szCs w:val="22"/>
          <w:lang w:eastAsia="en-GB"/>
        </w:rPr>
        <w:t>). (2) да подпомага компаниите при определяне на специфичната им роля по отношение на законодателството по химикали /вносители, производители, разпространители (дистрибутори), потребители по веригата/ и техните съпътстващи отговорности и задължения; (3) експертите от информационното бюро предоставят насоки на предприятията по отношение на изискванията относно прилагането и налагането на Регламент REACH и CLP на национално ниво.</w:t>
      </w:r>
    </w:p>
    <w:p w14:paraId="1D0A89F1" w14:textId="77777777" w:rsidR="000B6410" w:rsidRDefault="000B6410" w:rsidP="000B6410">
      <w:pPr>
        <w:spacing w:before="120" w:after="120" w:line="264" w:lineRule="auto"/>
        <w:jc w:val="both"/>
        <w:rPr>
          <w:rFonts w:ascii="Times New Roman" w:eastAsia="Times New Roman" w:hAnsi="Times New Roman" w:cs="Times New Roman"/>
          <w:lang w:val="bg-BG" w:eastAsia="en-GB"/>
        </w:rPr>
      </w:pPr>
      <w:r w:rsidRPr="00BD246F">
        <w:rPr>
          <w:rFonts w:ascii="Times New Roman" w:eastAsia="Times New Roman" w:hAnsi="Times New Roman" w:cs="Times New Roman"/>
          <w:lang w:val="bg-BG" w:eastAsia="en-GB"/>
        </w:rPr>
        <w:t>В изпълнение на дейността си, националното информационно бюро по химикали към МОСВ  предостав</w:t>
      </w:r>
      <w:r>
        <w:rPr>
          <w:rFonts w:ascii="Times New Roman" w:eastAsia="Times New Roman" w:hAnsi="Times New Roman" w:cs="Times New Roman"/>
          <w:lang w:val="bg-BG" w:eastAsia="en-GB"/>
        </w:rPr>
        <w:t xml:space="preserve">я годишно между 80 и 90 отговора </w:t>
      </w:r>
      <w:r w:rsidRPr="00BD246F">
        <w:rPr>
          <w:rFonts w:ascii="Times New Roman" w:eastAsia="Times New Roman" w:hAnsi="Times New Roman" w:cs="Times New Roman"/>
          <w:lang w:val="bg-BG" w:eastAsia="en-GB"/>
        </w:rPr>
        <w:t>по запитвания на задължени лица за приложимото законодателство в областта на химикалите</w:t>
      </w:r>
      <w:r>
        <w:rPr>
          <w:rFonts w:ascii="Times New Roman" w:eastAsia="Times New Roman" w:hAnsi="Times New Roman" w:cs="Times New Roman"/>
          <w:lang w:val="bg-BG" w:eastAsia="en-GB"/>
        </w:rPr>
        <w:t>.</w:t>
      </w:r>
    </w:p>
    <w:p w14:paraId="789103F6" w14:textId="079C94F1" w:rsidR="00B71432" w:rsidRPr="00BD246F" w:rsidRDefault="00B71432" w:rsidP="000B6410">
      <w:pPr>
        <w:spacing w:before="120" w:after="120" w:line="264" w:lineRule="auto"/>
        <w:jc w:val="both"/>
        <w:rPr>
          <w:rFonts w:ascii="Times New Roman" w:hAnsi="Times New Roman" w:cs="Times New Roman"/>
          <w:color w:val="000000"/>
          <w:lang w:val="bg-BG"/>
        </w:rPr>
      </w:pPr>
      <w:r w:rsidRPr="00BD246F">
        <w:rPr>
          <w:rFonts w:ascii="Times New Roman" w:hAnsi="Times New Roman" w:cs="Times New Roman"/>
          <w:color w:val="000000"/>
          <w:lang w:val="bg-BG"/>
        </w:rPr>
        <w:t>Производителите, вносителите и потребителите надолу по веригата на химикали са отговорни за идентифициране на рисковете от веществата и прилагането на мерки за намаляване на рисковете за човека и околната среда.</w:t>
      </w:r>
    </w:p>
    <w:p w14:paraId="6E51EAFA" w14:textId="77777777" w:rsidR="00B71432" w:rsidRPr="00BD246F" w:rsidRDefault="00B71432" w:rsidP="00754BCE">
      <w:pPr>
        <w:spacing w:before="120" w:after="120" w:line="264" w:lineRule="auto"/>
        <w:jc w:val="both"/>
        <w:rPr>
          <w:rFonts w:ascii="Times New Roman" w:hAnsi="Times New Roman" w:cs="Times New Roman"/>
          <w:b/>
          <w:color w:val="000000"/>
          <w:lang w:val="bg-BG"/>
        </w:rPr>
      </w:pPr>
      <w:r w:rsidRPr="00BD246F">
        <w:rPr>
          <w:rFonts w:ascii="Times New Roman" w:hAnsi="Times New Roman" w:cs="Times New Roman"/>
          <w:color w:val="000000"/>
          <w:lang w:val="bg-BG"/>
        </w:rPr>
        <w:t xml:space="preserve">Употребата на определени особено опасни химикали (напр. устойчиви, биоакумулираши и токсични вещества (PBT), канцерогенни, мутагенни и токсични за репродукцията вещества (CMR)) изисква </w:t>
      </w:r>
      <w:r w:rsidRPr="00BD246F">
        <w:rPr>
          <w:rFonts w:ascii="Times New Roman" w:hAnsi="Times New Roman" w:cs="Times New Roman"/>
          <w:b/>
          <w:color w:val="000000"/>
          <w:lang w:val="bg-BG"/>
        </w:rPr>
        <w:t>повишаване на ролята и отговорността на индустрията за прилагане на подходящи мерки за намаляване на риска от тези химикали чрез ограничаване и извеждане от употреба, както и тяхната замяна с по-безопасни алтернативи.</w:t>
      </w:r>
    </w:p>
    <w:p w14:paraId="57B06757" w14:textId="77777777" w:rsidR="00B71432" w:rsidRPr="00BD246F" w:rsidRDefault="00B71432" w:rsidP="00754BCE">
      <w:pPr>
        <w:spacing w:before="120" w:after="120" w:line="264" w:lineRule="auto"/>
        <w:jc w:val="both"/>
        <w:rPr>
          <w:rFonts w:ascii="Times New Roman" w:hAnsi="Times New Roman" w:cs="Times New Roman"/>
          <w:color w:val="000000"/>
          <w:lang w:val="bg-BG"/>
        </w:rPr>
      </w:pPr>
      <w:r w:rsidRPr="00BD246F">
        <w:rPr>
          <w:rFonts w:ascii="Times New Roman" w:hAnsi="Times New Roman" w:cs="Times New Roman"/>
          <w:color w:val="000000"/>
          <w:lang w:val="bg-BG"/>
        </w:rPr>
        <w:t>Дружествата в ЕС все повече заменят опасните химикали и производствени процеси с по-безопасни вещества и по-екологични технологии. Това може да донесе значителни ползи за дружествата, за околната среда и за здравето на работещите с химикали и потребителите. Може да има също значително положително въздействие върху въвеждането на кръгова икономика.</w:t>
      </w:r>
    </w:p>
    <w:p w14:paraId="25794B73" w14:textId="77777777" w:rsidR="00B71432" w:rsidRPr="00BD246F" w:rsidRDefault="00B71432" w:rsidP="00754BCE">
      <w:pPr>
        <w:spacing w:before="120" w:after="120" w:line="264" w:lineRule="auto"/>
        <w:jc w:val="both"/>
        <w:rPr>
          <w:rFonts w:ascii="Times New Roman" w:hAnsi="Times New Roman" w:cs="Times New Roman"/>
          <w:lang w:val="bg-BG"/>
        </w:rPr>
      </w:pPr>
      <w:r w:rsidRPr="00BD246F">
        <w:rPr>
          <w:rFonts w:ascii="Times New Roman" w:hAnsi="Times New Roman" w:cs="Times New Roman"/>
          <w:b/>
          <w:color w:val="000000"/>
          <w:lang w:val="bg-BG"/>
        </w:rPr>
        <w:t xml:space="preserve">Събирането и проучването на информация за определени опасни химикали е съществено предизвикателство за реализиране на политиката в областта на химикалите. </w:t>
      </w:r>
      <w:r w:rsidRPr="00BD246F">
        <w:rPr>
          <w:rFonts w:ascii="Times New Roman" w:hAnsi="Times New Roman" w:cs="Times New Roman"/>
          <w:color w:val="000000"/>
          <w:lang w:val="bg-BG"/>
        </w:rPr>
        <w:t xml:space="preserve">Наличието на </w:t>
      </w:r>
      <w:r w:rsidRPr="00BD246F">
        <w:rPr>
          <w:rFonts w:ascii="Times New Roman" w:hAnsi="Times New Roman" w:cs="Times New Roman"/>
          <w:lang w:val="bg-BG"/>
        </w:rPr>
        <w:t>информация</w:t>
      </w:r>
      <w:r w:rsidRPr="00BD246F">
        <w:rPr>
          <w:rFonts w:ascii="Times New Roman" w:hAnsi="Times New Roman" w:cs="Times New Roman"/>
          <w:color w:val="000000"/>
          <w:lang w:val="bg-BG"/>
        </w:rPr>
        <w:t xml:space="preserve"> </w:t>
      </w:r>
      <w:r w:rsidRPr="00BD246F">
        <w:rPr>
          <w:rFonts w:ascii="Times New Roman" w:hAnsi="Times New Roman" w:cs="Times New Roman"/>
          <w:lang w:val="bg-BG"/>
        </w:rPr>
        <w:t xml:space="preserve">за свойствата, употребите и рисковете от веществата </w:t>
      </w:r>
      <w:r w:rsidRPr="00BD246F">
        <w:rPr>
          <w:rFonts w:ascii="Times New Roman" w:hAnsi="Times New Roman" w:cs="Times New Roman"/>
          <w:color w:val="000000"/>
          <w:lang w:val="bg-BG"/>
        </w:rPr>
        <w:t xml:space="preserve">дава възможност да се прецени доколко са сериозни заплахите от химикалите за човешкото здраве и околната среда </w:t>
      </w:r>
      <w:r w:rsidRPr="00BD246F">
        <w:rPr>
          <w:rFonts w:ascii="Times New Roman" w:hAnsi="Times New Roman" w:cs="Times New Roman"/>
          <w:lang w:val="bg-BG"/>
        </w:rPr>
        <w:t xml:space="preserve">и да се идентифицират съответните мерки за управление на риска. </w:t>
      </w:r>
    </w:p>
    <w:p w14:paraId="3B0CDA8D" w14:textId="57EFE6CC" w:rsidR="00BD246F" w:rsidRPr="00FD4F72" w:rsidRDefault="00014DF6" w:rsidP="00754BCE">
      <w:pPr>
        <w:autoSpaceDE w:val="0"/>
        <w:autoSpaceDN w:val="0"/>
        <w:adjustRightInd w:val="0"/>
        <w:spacing w:before="120" w:after="120" w:line="264" w:lineRule="auto"/>
        <w:jc w:val="both"/>
        <w:rPr>
          <w:rFonts w:ascii="Times New Roman" w:eastAsia="Times New Roman" w:hAnsi="Times New Roman" w:cs="Times New Roman"/>
          <w:lang w:val="bg-BG" w:eastAsia="en-GB"/>
        </w:rPr>
      </w:pPr>
      <w:r w:rsidRPr="00FD4F72">
        <w:rPr>
          <w:rFonts w:ascii="Times New Roman" w:eastAsia="Times New Roman" w:hAnsi="Times New Roman" w:cs="Times New Roman"/>
          <w:lang w:val="bg-BG" w:eastAsia="en-GB"/>
        </w:rPr>
        <w:t xml:space="preserve">За осъществяване на контрол по регламента REACH </w:t>
      </w:r>
      <w:r w:rsidRPr="00FD4F72">
        <w:rPr>
          <w:rFonts w:ascii="Times New Roman" w:hAnsi="Times New Roman" w:cs="Times New Roman"/>
          <w:color w:val="000000"/>
          <w:lang w:val="bg-BG"/>
        </w:rPr>
        <w:t>като основен инструмент за управление на химикалите, са въведени индикатори. Един от тях е броят на физическите или юридически лица, които произвеждат</w:t>
      </w:r>
      <w:r w:rsidR="00BD246F" w:rsidRPr="00FD4F72">
        <w:rPr>
          <w:rFonts w:ascii="Times New Roman" w:eastAsia="Times New Roman" w:hAnsi="Times New Roman" w:cs="Times New Roman"/>
          <w:lang w:val="bg-BG" w:eastAsia="en-GB"/>
        </w:rPr>
        <w:t xml:space="preserve"> или внасят химични вещества без регистрация спрямо общия брой проверени задължени лица.</w:t>
      </w:r>
    </w:p>
    <w:p w14:paraId="6C168057" w14:textId="77777777" w:rsidR="006E638D" w:rsidRDefault="00BD246F" w:rsidP="00754BCE">
      <w:pPr>
        <w:spacing w:before="120" w:after="120" w:line="264" w:lineRule="auto"/>
        <w:jc w:val="both"/>
        <w:rPr>
          <w:rFonts w:ascii="Times New Roman" w:eastAsia="Times New Roman" w:hAnsi="Times New Roman" w:cs="Times New Roman"/>
          <w:b/>
          <w:bCs/>
          <w:i/>
          <w:iCs/>
          <w:lang w:val="bg-BG" w:eastAsia="en-GB"/>
        </w:rPr>
      </w:pPr>
      <w:r w:rsidRPr="00BD246F">
        <w:rPr>
          <w:rFonts w:ascii="Times New Roman" w:eastAsia="Times New Roman" w:hAnsi="Times New Roman" w:cs="Times New Roman"/>
          <w:lang w:val="bg-BG" w:eastAsia="en-GB"/>
        </w:rPr>
        <w:t>Индикаторът измерва нивото на съответствие на задължените лица с изискванията на Регламент (ЕО) № 1907/2006 (REACH) относно регистрацията на вещества, изразено като съотношение на броя на задължените лица, при които са били констатирани несъответствия, спрямо общия брой задължени лица. Целта е всички физически или юридически лица, произвеждащи или внасящи химични вещества, подлежащи на предварителна или същинска регистрация, да са извършили такава. Чрез регистрацията се цели да се идентифицират свойствата и класифицират опасностите от произвежданите/внасяните химични вещества; да се изготви и документира оценка на безопасността им през целия им жизнен цикъл; да се разработят мерки за ограничаване на рисковете от тяхната употреба, включително на етапа на тяхното обезвреждане като отпадъци; и информацията да се представи на Европейската агенция по химикали (ЕСНА) под формата на регистрационни досиета.</w:t>
      </w:r>
      <w:r w:rsidRPr="00BD246F">
        <w:rPr>
          <w:rFonts w:ascii="Times New Roman" w:eastAsia="Times New Roman" w:hAnsi="Times New Roman" w:cs="Times New Roman"/>
          <w:b/>
          <w:bCs/>
          <w:i/>
          <w:iCs/>
          <w:lang w:val="bg-BG" w:eastAsia="en-GB"/>
        </w:rPr>
        <w:t xml:space="preserve"> Целевата стойност по този показател е 100%</w:t>
      </w:r>
      <w:r w:rsidR="006E638D" w:rsidRPr="00D9741F">
        <w:rPr>
          <w:rFonts w:ascii="Times New Roman" w:eastAsia="Times New Roman" w:hAnsi="Times New Roman" w:cs="Times New Roman"/>
          <w:b/>
          <w:bCs/>
          <w:i/>
          <w:iCs/>
          <w:lang w:val="ru-RU" w:eastAsia="en-GB"/>
        </w:rPr>
        <w:t xml:space="preserve">. </w:t>
      </w:r>
      <w:r w:rsidR="006E638D">
        <w:rPr>
          <w:rFonts w:ascii="Times New Roman" w:eastAsia="Times New Roman" w:hAnsi="Times New Roman" w:cs="Times New Roman"/>
          <w:b/>
          <w:bCs/>
          <w:i/>
          <w:iCs/>
          <w:lang w:val="bg-BG" w:eastAsia="en-GB"/>
        </w:rPr>
        <w:t xml:space="preserve">В следващата таблица са представени постигнатите резултати по години на база на информацията от Националния доклад за състояние на околната среда по години и данни предоставени от МОСВ. </w:t>
      </w:r>
    </w:p>
    <w:p w14:paraId="480F04A6" w14:textId="606DB71B" w:rsidR="00014DF6" w:rsidRDefault="00BD246F" w:rsidP="00754BCE">
      <w:pPr>
        <w:spacing w:before="120" w:after="120" w:line="264" w:lineRule="auto"/>
        <w:jc w:val="both"/>
        <w:rPr>
          <w:rFonts w:ascii="Times New Roman" w:eastAsia="Times New Roman" w:hAnsi="Times New Roman" w:cs="Times New Roman"/>
          <w:b/>
          <w:bCs/>
          <w:lang w:val="bg-BG" w:eastAsia="en-GB"/>
        </w:rPr>
      </w:pPr>
      <w:r w:rsidRPr="00BD246F">
        <w:rPr>
          <w:rFonts w:ascii="Times New Roman" w:eastAsia="Times New Roman" w:hAnsi="Times New Roman" w:cs="Times New Roman"/>
          <w:b/>
          <w:bCs/>
          <w:i/>
          <w:iCs/>
          <w:lang w:val="bg-BG" w:eastAsia="en-GB"/>
        </w:rPr>
        <w:t xml:space="preserve"> като постигнатият резултат за 2018 г. е 90,91%</w:t>
      </w:r>
      <w:r w:rsidRPr="00BD246F">
        <w:rPr>
          <w:rStyle w:val="FootnoteReference"/>
          <w:rFonts w:ascii="Times New Roman" w:eastAsia="Times New Roman" w:hAnsi="Times New Roman" w:cs="Times New Roman"/>
          <w:b/>
          <w:bCs/>
          <w:i/>
          <w:iCs/>
          <w:lang w:val="bg-BG" w:eastAsia="en-GB"/>
        </w:rPr>
        <w:footnoteReference w:id="18"/>
      </w:r>
      <w:r w:rsidR="00014DF6">
        <w:rPr>
          <w:rFonts w:ascii="Times New Roman" w:eastAsia="Times New Roman" w:hAnsi="Times New Roman" w:cs="Times New Roman"/>
          <w:b/>
          <w:bCs/>
          <w:i/>
          <w:iCs/>
          <w:lang w:val="bg-BG" w:eastAsia="en-GB"/>
        </w:rPr>
        <w:t xml:space="preserve">, т.е. </w:t>
      </w:r>
      <w:r w:rsidRPr="00BD246F">
        <w:rPr>
          <w:rFonts w:ascii="Times New Roman" w:eastAsia="Times New Roman" w:hAnsi="Times New Roman" w:cs="Times New Roman"/>
          <w:b/>
          <w:bCs/>
          <w:lang w:val="bg-BG" w:eastAsia="en-GB"/>
        </w:rPr>
        <w:t>90,91% от проверените задължени лица в страната са извършили предварителна или същинска регистрация на химични вещества и смеси</w:t>
      </w:r>
      <w:r w:rsidR="00014DF6">
        <w:rPr>
          <w:rFonts w:ascii="Times New Roman" w:eastAsia="Times New Roman" w:hAnsi="Times New Roman" w:cs="Times New Roman"/>
          <w:b/>
          <w:bCs/>
          <w:lang w:val="bg-BG" w:eastAsia="en-GB"/>
        </w:rPr>
        <w:t>.</w:t>
      </w:r>
    </w:p>
    <w:p w14:paraId="5953E24F" w14:textId="5E22F660" w:rsidR="00EF271D" w:rsidRDefault="006E638D" w:rsidP="006E638D">
      <w:pPr>
        <w:pStyle w:val="Caption"/>
      </w:pPr>
      <w:r>
        <w:t xml:space="preserve">Таблица </w:t>
      </w:r>
      <w:r>
        <w:fldChar w:fldCharType="begin"/>
      </w:r>
      <w:r>
        <w:instrText xml:space="preserve"> SEQ Таблица \* ARABIC </w:instrText>
      </w:r>
      <w:r>
        <w:fldChar w:fldCharType="separate"/>
      </w:r>
      <w:r>
        <w:rPr>
          <w:noProof/>
        </w:rPr>
        <w:t>1</w:t>
      </w:r>
      <w:r>
        <w:fldChar w:fldCharType="end"/>
      </w:r>
      <w:r>
        <w:t>. Степен на съответствие на задължените лица с изискванията за регистрация на веществата в Регламент REACH (Постигнат резултат от проверените задължени лица в страната)</w:t>
      </w:r>
      <w:r w:rsidR="00EF271D">
        <w:t xml:space="preserve">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06"/>
      </w:tblGrid>
      <w:tr w:rsidR="00EF271D" w:rsidRPr="004575FB" w14:paraId="096D17AD" w14:textId="77777777" w:rsidTr="00871407">
        <w:trPr>
          <w:tblCellSpacing w:w="15" w:type="dxa"/>
        </w:trPr>
        <w:tc>
          <w:tcPr>
            <w:tcW w:w="0" w:type="auto"/>
            <w:vAlign w:val="center"/>
            <w:hideMark/>
          </w:tcPr>
          <w:tbl>
            <w:tblPr>
              <w:tblStyle w:val="TableGrid"/>
              <w:tblW w:w="9310" w:type="dxa"/>
              <w:tblLook w:val="04A0" w:firstRow="1" w:lastRow="0" w:firstColumn="1" w:lastColumn="0" w:noHBand="0" w:noVBand="1"/>
            </w:tblPr>
            <w:tblGrid>
              <w:gridCol w:w="1222"/>
              <w:gridCol w:w="2148"/>
              <w:gridCol w:w="2070"/>
              <w:gridCol w:w="1980"/>
              <w:gridCol w:w="1890"/>
            </w:tblGrid>
            <w:tr w:rsidR="006E638D" w14:paraId="1F127C6F" w14:textId="77777777" w:rsidTr="00D9741F">
              <w:trPr>
                <w:trHeight w:val="532"/>
              </w:trPr>
              <w:tc>
                <w:tcPr>
                  <w:tcW w:w="1222" w:type="dxa"/>
                </w:tcPr>
                <w:p w14:paraId="5911872D" w14:textId="5BC67E12" w:rsidR="006E638D" w:rsidRPr="006E638D" w:rsidRDefault="006E638D" w:rsidP="00871407">
                  <w:pPr>
                    <w:spacing w:before="100" w:beforeAutospacing="1" w:after="100" w:afterAutospacing="1"/>
                    <w:jc w:val="both"/>
                    <w:rPr>
                      <w:rFonts w:ascii="Times New Roman" w:eastAsia="Times New Roman" w:hAnsi="Times New Roman" w:cs="Times New Roman"/>
                      <w:lang w:val="bg-BG" w:eastAsia="en-GB"/>
                    </w:rPr>
                  </w:pPr>
                  <w:r w:rsidRPr="006E638D">
                    <w:rPr>
                      <w:rFonts w:ascii="Times New Roman" w:eastAsia="Times New Roman" w:hAnsi="Times New Roman" w:cs="Times New Roman"/>
                      <w:lang w:val="bg-BG" w:eastAsia="en-GB"/>
                    </w:rPr>
                    <w:t>Година</w:t>
                  </w:r>
                </w:p>
              </w:tc>
              <w:tc>
                <w:tcPr>
                  <w:tcW w:w="2148" w:type="dxa"/>
                </w:tcPr>
                <w:p w14:paraId="4CDE7712" w14:textId="5DB3E2D2" w:rsidR="006E638D" w:rsidRPr="006E638D" w:rsidRDefault="006E638D" w:rsidP="006E638D">
                  <w:pPr>
                    <w:spacing w:before="100" w:beforeAutospacing="1" w:after="100" w:afterAutospacing="1"/>
                    <w:jc w:val="center"/>
                    <w:rPr>
                      <w:rFonts w:ascii="Times New Roman" w:eastAsia="Times New Roman" w:hAnsi="Times New Roman" w:cs="Times New Roman"/>
                      <w:b/>
                      <w:bCs/>
                      <w:lang w:eastAsia="en-GB"/>
                    </w:rPr>
                  </w:pPr>
                  <w:r w:rsidRPr="006E638D">
                    <w:rPr>
                      <w:rFonts w:ascii="Times New Roman" w:eastAsia="Times New Roman" w:hAnsi="Times New Roman" w:cs="Times New Roman"/>
                      <w:b/>
                      <w:bCs/>
                      <w:lang w:eastAsia="en-GB"/>
                    </w:rPr>
                    <w:t>2016</w:t>
                  </w:r>
                </w:p>
              </w:tc>
              <w:tc>
                <w:tcPr>
                  <w:tcW w:w="2070" w:type="dxa"/>
                </w:tcPr>
                <w:p w14:paraId="0D8ACA28" w14:textId="77777777" w:rsidR="006E638D" w:rsidRPr="006E638D" w:rsidRDefault="006E638D" w:rsidP="006E638D">
                  <w:pPr>
                    <w:spacing w:before="100" w:beforeAutospacing="1" w:after="100" w:afterAutospacing="1"/>
                    <w:jc w:val="center"/>
                    <w:rPr>
                      <w:rFonts w:ascii="Times New Roman" w:eastAsia="Times New Roman" w:hAnsi="Times New Roman" w:cs="Times New Roman"/>
                      <w:b/>
                      <w:bCs/>
                      <w:lang w:eastAsia="en-GB"/>
                    </w:rPr>
                  </w:pPr>
                  <w:r w:rsidRPr="006E638D">
                    <w:rPr>
                      <w:rFonts w:ascii="Times New Roman" w:eastAsia="Times New Roman" w:hAnsi="Times New Roman" w:cs="Times New Roman"/>
                      <w:b/>
                      <w:bCs/>
                      <w:lang w:eastAsia="en-GB"/>
                    </w:rPr>
                    <w:t>2017</w:t>
                  </w:r>
                </w:p>
              </w:tc>
              <w:tc>
                <w:tcPr>
                  <w:tcW w:w="1980" w:type="dxa"/>
                </w:tcPr>
                <w:p w14:paraId="207A1821" w14:textId="77777777" w:rsidR="006E638D" w:rsidRPr="006E638D" w:rsidRDefault="006E638D" w:rsidP="006E638D">
                  <w:pPr>
                    <w:spacing w:before="100" w:beforeAutospacing="1" w:after="100" w:afterAutospacing="1"/>
                    <w:jc w:val="center"/>
                    <w:rPr>
                      <w:rFonts w:ascii="Times New Roman" w:eastAsia="Times New Roman" w:hAnsi="Times New Roman" w:cs="Times New Roman"/>
                      <w:b/>
                      <w:bCs/>
                      <w:lang w:eastAsia="en-GB"/>
                    </w:rPr>
                  </w:pPr>
                  <w:r w:rsidRPr="006E638D">
                    <w:rPr>
                      <w:rFonts w:ascii="Times New Roman" w:eastAsia="Times New Roman" w:hAnsi="Times New Roman" w:cs="Times New Roman"/>
                      <w:b/>
                      <w:bCs/>
                      <w:lang w:eastAsia="en-GB"/>
                    </w:rPr>
                    <w:t>2018</w:t>
                  </w:r>
                </w:p>
              </w:tc>
              <w:tc>
                <w:tcPr>
                  <w:tcW w:w="1890" w:type="dxa"/>
                </w:tcPr>
                <w:p w14:paraId="06FC7B4A" w14:textId="77777777" w:rsidR="006E638D" w:rsidRPr="006E638D" w:rsidRDefault="006E638D" w:rsidP="006E638D">
                  <w:pPr>
                    <w:spacing w:before="100" w:beforeAutospacing="1" w:after="100" w:afterAutospacing="1"/>
                    <w:jc w:val="center"/>
                    <w:rPr>
                      <w:rFonts w:ascii="Times New Roman" w:eastAsia="Times New Roman" w:hAnsi="Times New Roman" w:cs="Times New Roman"/>
                      <w:b/>
                      <w:bCs/>
                      <w:lang w:eastAsia="en-GB"/>
                    </w:rPr>
                  </w:pPr>
                  <w:r w:rsidRPr="006E638D">
                    <w:rPr>
                      <w:rFonts w:ascii="Times New Roman" w:eastAsia="Times New Roman" w:hAnsi="Times New Roman" w:cs="Times New Roman"/>
                      <w:b/>
                      <w:bCs/>
                      <w:lang w:eastAsia="en-GB"/>
                    </w:rPr>
                    <w:t>2019</w:t>
                  </w:r>
                </w:p>
              </w:tc>
            </w:tr>
            <w:tr w:rsidR="006E638D" w:rsidRPr="004575FB" w14:paraId="237E9658" w14:textId="77777777" w:rsidTr="00D9741F">
              <w:tc>
                <w:tcPr>
                  <w:tcW w:w="1222" w:type="dxa"/>
                </w:tcPr>
                <w:p w14:paraId="7441224F" w14:textId="419B2722" w:rsidR="006E638D" w:rsidRPr="00D9741F" w:rsidRDefault="006E638D" w:rsidP="00871407">
                  <w:pPr>
                    <w:spacing w:before="100" w:beforeAutospacing="1" w:after="100" w:afterAutospacing="1"/>
                    <w:jc w:val="both"/>
                    <w:rPr>
                      <w:rFonts w:ascii="Times New Roman" w:eastAsia="Times New Roman" w:hAnsi="Times New Roman" w:cs="Times New Roman"/>
                      <w:sz w:val="20"/>
                      <w:szCs w:val="20"/>
                      <w:lang w:val="bg-BG" w:eastAsia="en-GB"/>
                    </w:rPr>
                  </w:pPr>
                  <w:r w:rsidRPr="00D9741F">
                    <w:rPr>
                      <w:rFonts w:ascii="Times New Roman" w:eastAsia="Times New Roman" w:hAnsi="Times New Roman" w:cs="Times New Roman"/>
                      <w:sz w:val="20"/>
                      <w:szCs w:val="20"/>
                      <w:lang w:val="bg-BG" w:eastAsia="en-GB"/>
                    </w:rPr>
                    <w:t>Постигнат резултат</w:t>
                  </w:r>
                </w:p>
              </w:tc>
              <w:tc>
                <w:tcPr>
                  <w:tcW w:w="2148" w:type="dxa"/>
                </w:tcPr>
                <w:p w14:paraId="233C6ACB" w14:textId="107BB0FA" w:rsidR="006E638D" w:rsidRPr="00D9741F" w:rsidRDefault="006E638D" w:rsidP="00871407">
                  <w:pPr>
                    <w:spacing w:before="100" w:beforeAutospacing="1" w:after="100" w:afterAutospacing="1"/>
                    <w:jc w:val="both"/>
                    <w:rPr>
                      <w:rFonts w:ascii="Times New Roman" w:eastAsia="Times New Roman" w:hAnsi="Times New Roman" w:cs="Times New Roman"/>
                      <w:sz w:val="20"/>
                      <w:szCs w:val="20"/>
                      <w:lang w:val="ru-RU" w:eastAsia="en-GB"/>
                    </w:rPr>
                  </w:pPr>
                  <w:r w:rsidRPr="00D9741F">
                    <w:rPr>
                      <w:rFonts w:ascii="Times New Roman" w:eastAsia="Times New Roman" w:hAnsi="Times New Roman" w:cs="Times New Roman"/>
                      <w:sz w:val="20"/>
                      <w:szCs w:val="20"/>
                      <w:lang w:val="ru-RU" w:eastAsia="en-GB"/>
                    </w:rPr>
                    <w:t xml:space="preserve">90,48% от задължените лица в страната са в съответствие с изискванията на Регламент </w:t>
                  </w:r>
                  <w:r w:rsidRPr="00D9741F">
                    <w:rPr>
                      <w:rFonts w:ascii="Times New Roman" w:eastAsia="Times New Roman" w:hAnsi="Times New Roman" w:cs="Times New Roman"/>
                      <w:sz w:val="20"/>
                      <w:szCs w:val="20"/>
                      <w:lang w:eastAsia="en-GB"/>
                    </w:rPr>
                    <w:t>REACH</w:t>
                  </w:r>
                  <w:r w:rsidRPr="00D9741F">
                    <w:rPr>
                      <w:rFonts w:ascii="Times New Roman" w:eastAsia="Times New Roman" w:hAnsi="Times New Roman" w:cs="Times New Roman"/>
                      <w:sz w:val="20"/>
                      <w:szCs w:val="20"/>
                      <w:lang w:val="ru-RU" w:eastAsia="en-GB"/>
                    </w:rPr>
                    <w:t xml:space="preserve"> за регистрация</w:t>
                  </w:r>
                </w:p>
              </w:tc>
              <w:tc>
                <w:tcPr>
                  <w:tcW w:w="2070" w:type="dxa"/>
                </w:tcPr>
                <w:p w14:paraId="5FD9B7A0" w14:textId="77777777" w:rsidR="006E638D" w:rsidRPr="00D9741F" w:rsidRDefault="006E638D" w:rsidP="00871407">
                  <w:pPr>
                    <w:spacing w:before="100" w:beforeAutospacing="1" w:after="100" w:afterAutospacing="1"/>
                    <w:jc w:val="both"/>
                    <w:rPr>
                      <w:rFonts w:ascii="Times New Roman" w:eastAsia="Times New Roman" w:hAnsi="Times New Roman" w:cs="Times New Roman"/>
                      <w:sz w:val="20"/>
                      <w:szCs w:val="20"/>
                      <w:lang w:val="ru-RU" w:eastAsia="en-GB"/>
                    </w:rPr>
                  </w:pPr>
                  <w:r w:rsidRPr="00D9741F">
                    <w:rPr>
                      <w:rFonts w:ascii="Times New Roman" w:eastAsia="Times New Roman" w:hAnsi="Times New Roman" w:cs="Times New Roman"/>
                      <w:sz w:val="20"/>
                      <w:szCs w:val="20"/>
                      <w:lang w:val="ru-RU" w:eastAsia="en-GB"/>
                    </w:rPr>
                    <w:t xml:space="preserve">96,04% от задължените лица в страната са в съответствие с изискванията на Регламент </w:t>
                  </w:r>
                  <w:r w:rsidRPr="00D9741F">
                    <w:rPr>
                      <w:rFonts w:ascii="Times New Roman" w:eastAsia="Times New Roman" w:hAnsi="Times New Roman" w:cs="Times New Roman"/>
                      <w:sz w:val="20"/>
                      <w:szCs w:val="20"/>
                      <w:lang w:eastAsia="en-GB"/>
                    </w:rPr>
                    <w:t>REACH</w:t>
                  </w:r>
                  <w:r w:rsidRPr="00D9741F">
                    <w:rPr>
                      <w:rFonts w:ascii="Times New Roman" w:eastAsia="Times New Roman" w:hAnsi="Times New Roman" w:cs="Times New Roman"/>
                      <w:sz w:val="20"/>
                      <w:szCs w:val="20"/>
                      <w:lang w:val="ru-RU" w:eastAsia="en-GB"/>
                    </w:rPr>
                    <w:t xml:space="preserve"> за регистрация.</w:t>
                  </w:r>
                </w:p>
              </w:tc>
              <w:tc>
                <w:tcPr>
                  <w:tcW w:w="1980" w:type="dxa"/>
                </w:tcPr>
                <w:p w14:paraId="3E6652B6" w14:textId="77777777" w:rsidR="006E638D" w:rsidRPr="00D9741F" w:rsidRDefault="006E638D" w:rsidP="00871407">
                  <w:pPr>
                    <w:spacing w:before="100" w:beforeAutospacing="1" w:after="100" w:afterAutospacing="1"/>
                    <w:jc w:val="both"/>
                    <w:rPr>
                      <w:rFonts w:ascii="Times New Roman" w:eastAsia="Times New Roman" w:hAnsi="Times New Roman" w:cs="Times New Roman"/>
                      <w:sz w:val="20"/>
                      <w:szCs w:val="20"/>
                      <w:lang w:val="ru-RU" w:eastAsia="en-GB"/>
                    </w:rPr>
                  </w:pPr>
                  <w:r w:rsidRPr="00D9741F">
                    <w:rPr>
                      <w:rFonts w:ascii="Times New Roman" w:hAnsi="Times New Roman" w:cs="Times New Roman"/>
                      <w:sz w:val="20"/>
                      <w:szCs w:val="20"/>
                      <w:lang w:val="ru-RU"/>
                    </w:rPr>
                    <w:t xml:space="preserve">90,91% от задължените лица в страната са в съответствие с изискванията на Регламент </w:t>
                  </w:r>
                  <w:r w:rsidRPr="00D9741F">
                    <w:rPr>
                      <w:rFonts w:ascii="Times New Roman" w:hAnsi="Times New Roman" w:cs="Times New Roman"/>
                      <w:sz w:val="20"/>
                      <w:szCs w:val="20"/>
                    </w:rPr>
                    <w:t>REACH</w:t>
                  </w:r>
                  <w:r w:rsidRPr="00D9741F">
                    <w:rPr>
                      <w:rFonts w:ascii="Times New Roman" w:hAnsi="Times New Roman" w:cs="Times New Roman"/>
                      <w:sz w:val="20"/>
                      <w:szCs w:val="20"/>
                      <w:lang w:val="ru-RU"/>
                    </w:rPr>
                    <w:t xml:space="preserve"> за регистрация.</w:t>
                  </w:r>
                </w:p>
              </w:tc>
              <w:tc>
                <w:tcPr>
                  <w:tcW w:w="1890" w:type="dxa"/>
                </w:tcPr>
                <w:p w14:paraId="767FE4EF" w14:textId="77777777" w:rsidR="006E638D" w:rsidRPr="00D9741F" w:rsidRDefault="006E638D" w:rsidP="00871407">
                  <w:pPr>
                    <w:spacing w:before="100" w:beforeAutospacing="1" w:after="100" w:afterAutospacing="1"/>
                    <w:jc w:val="both"/>
                    <w:rPr>
                      <w:rFonts w:ascii="Times New Roman" w:eastAsia="Times New Roman" w:hAnsi="Times New Roman" w:cs="Times New Roman"/>
                      <w:sz w:val="20"/>
                      <w:szCs w:val="20"/>
                      <w:lang w:val="ru-RU" w:eastAsia="en-GB"/>
                    </w:rPr>
                  </w:pPr>
                  <w:r w:rsidRPr="00D9741F">
                    <w:rPr>
                      <w:rFonts w:ascii="Times New Roman" w:hAnsi="Times New Roman" w:cs="Times New Roman"/>
                      <w:sz w:val="20"/>
                      <w:szCs w:val="20"/>
                      <w:lang w:val="ru-RU"/>
                    </w:rPr>
                    <w:t xml:space="preserve">89,40% от задължените лица в страната са в съответствие с изискванията на Регламент </w:t>
                  </w:r>
                  <w:r w:rsidRPr="00D9741F">
                    <w:rPr>
                      <w:rFonts w:ascii="Times New Roman" w:hAnsi="Times New Roman" w:cs="Times New Roman"/>
                      <w:sz w:val="20"/>
                      <w:szCs w:val="20"/>
                    </w:rPr>
                    <w:t>REACH</w:t>
                  </w:r>
                  <w:r w:rsidRPr="00D9741F">
                    <w:rPr>
                      <w:rFonts w:ascii="Times New Roman" w:hAnsi="Times New Roman" w:cs="Times New Roman"/>
                      <w:sz w:val="20"/>
                      <w:szCs w:val="20"/>
                      <w:lang w:val="ru-RU"/>
                    </w:rPr>
                    <w:t xml:space="preserve"> за регистрация.</w:t>
                  </w:r>
                  <w:r w:rsidRPr="00D9741F">
                    <w:rPr>
                      <w:rFonts w:ascii="Times New Roman" w:hAnsi="Times New Roman" w:cs="Times New Roman"/>
                      <w:sz w:val="20"/>
                      <w:szCs w:val="20"/>
                    </w:rPr>
                    <w:t> </w:t>
                  </w:r>
                </w:p>
              </w:tc>
            </w:tr>
          </w:tbl>
          <w:p w14:paraId="4A5A68A3" w14:textId="77777777" w:rsidR="00EF271D" w:rsidRPr="00D9741F" w:rsidRDefault="00EF271D" w:rsidP="00871407">
            <w:pPr>
              <w:spacing w:before="100" w:beforeAutospacing="1" w:after="100" w:afterAutospacing="1" w:line="240" w:lineRule="auto"/>
              <w:jc w:val="both"/>
              <w:rPr>
                <w:rFonts w:ascii="Times New Roman" w:eastAsia="Times New Roman" w:hAnsi="Times New Roman" w:cs="Times New Roman"/>
                <w:b/>
                <w:bCs/>
                <w:sz w:val="24"/>
                <w:szCs w:val="24"/>
                <w:lang w:val="ru-RU" w:eastAsia="en-GB"/>
              </w:rPr>
            </w:pPr>
          </w:p>
        </w:tc>
      </w:tr>
    </w:tbl>
    <w:p w14:paraId="666CFA8F" w14:textId="3D3851DE" w:rsidR="00EF271D" w:rsidRPr="008D39EF" w:rsidRDefault="006E638D" w:rsidP="008D39EF">
      <w:pPr>
        <w:spacing w:before="120" w:after="120" w:line="264" w:lineRule="auto"/>
        <w:jc w:val="both"/>
        <w:rPr>
          <w:rFonts w:ascii="Times New Roman" w:eastAsia="Times New Roman" w:hAnsi="Times New Roman" w:cs="Times New Roman"/>
          <w:lang w:val="bg-BG" w:eastAsia="en-GB"/>
        </w:rPr>
      </w:pPr>
      <w:r w:rsidRPr="008D39EF">
        <w:rPr>
          <w:rFonts w:ascii="Times New Roman" w:eastAsia="Times New Roman" w:hAnsi="Times New Roman" w:cs="Times New Roman"/>
          <w:lang w:val="bg-BG" w:eastAsia="en-GB"/>
        </w:rPr>
        <w:t xml:space="preserve">През 2016 г. </w:t>
      </w:r>
      <w:r w:rsidR="00EF271D" w:rsidRPr="003B396B">
        <w:rPr>
          <w:rFonts w:ascii="Times New Roman" w:eastAsia="Times New Roman" w:hAnsi="Times New Roman" w:cs="Times New Roman"/>
          <w:lang w:val="bg-BG" w:eastAsia="en-GB"/>
        </w:rPr>
        <w:t xml:space="preserve">90,48% от задължените лица в страната са извършили предварителна или същинска регистрация на химични вещества и смеси, които се произвеждат или внасят и пускат на пазара в България във висок тонаж (100 - 1000 тона средно на година) в съответствие с изискванията за регистрация на Регламент (EO) № 1907/2006 (REACH). </w:t>
      </w:r>
    </w:p>
    <w:p w14:paraId="7DD53B34" w14:textId="63BF07EE" w:rsidR="00EF271D" w:rsidRDefault="008D39EF" w:rsidP="008D39EF">
      <w:pPr>
        <w:spacing w:before="120" w:after="120" w:line="264" w:lineRule="auto"/>
        <w:jc w:val="both"/>
        <w:rPr>
          <w:rFonts w:ascii="Times New Roman" w:hAnsi="Times New Roman" w:cs="Times New Roman"/>
          <w:lang w:val="bg-BG"/>
        </w:rPr>
      </w:pPr>
      <w:r w:rsidRPr="008D39EF">
        <w:rPr>
          <w:rFonts w:ascii="Times New Roman" w:eastAsia="Times New Roman" w:hAnsi="Times New Roman" w:cs="Times New Roman"/>
          <w:lang w:val="bg-BG" w:eastAsia="en-GB"/>
        </w:rPr>
        <w:t>През 2017 г. има известно увеличение</w:t>
      </w:r>
      <w:r w:rsidR="00EF271D" w:rsidRPr="008D39EF">
        <w:rPr>
          <w:rFonts w:ascii="Times New Roman" w:hAnsi="Times New Roman" w:cs="Times New Roman"/>
          <w:lang w:val="bg-BG"/>
        </w:rPr>
        <w:t xml:space="preserve"> на задължените лица, които са извършили предварителна или същинска регистрация, в т.ч. промяна в ролята им по веригата на доставки (потребители по веригата и дистрибутори). </w:t>
      </w:r>
    </w:p>
    <w:p w14:paraId="32A01119" w14:textId="5144592C" w:rsidR="00D9741F" w:rsidRPr="008D39EF" w:rsidRDefault="00D9741F" w:rsidP="00D9741F">
      <w:pPr>
        <w:pStyle w:val="Caption"/>
        <w:rPr>
          <w:rFonts w:ascii="Times New Roman" w:hAnsi="Times New Roman" w:cs="Times New Roman"/>
        </w:rPr>
      </w:pPr>
      <w:r>
        <w:t xml:space="preserve">Фигура </w:t>
      </w:r>
      <w:r>
        <w:fldChar w:fldCharType="begin"/>
      </w:r>
      <w:r>
        <w:instrText xml:space="preserve"> SEQ Фигура \* ARABIC </w:instrText>
      </w:r>
      <w:r>
        <w:fldChar w:fldCharType="separate"/>
      </w:r>
      <w:r>
        <w:rPr>
          <w:noProof/>
        </w:rPr>
        <w:t>2</w:t>
      </w:r>
      <w:r>
        <w:fldChar w:fldCharType="end"/>
      </w:r>
      <w:r>
        <w:t>. Постигнати резултати</w:t>
      </w:r>
    </w:p>
    <w:p w14:paraId="50DC65C0" w14:textId="25E747AE" w:rsidR="00D9741F" w:rsidRDefault="00D9741F" w:rsidP="008D39EF">
      <w:pPr>
        <w:spacing w:before="120" w:after="120" w:line="264" w:lineRule="auto"/>
        <w:jc w:val="both"/>
        <w:rPr>
          <w:rFonts w:ascii="Times New Roman" w:hAnsi="Times New Roman" w:cs="Times New Roman"/>
          <w:lang w:val="bg-BG"/>
        </w:rPr>
      </w:pPr>
      <w:r>
        <w:rPr>
          <w:rFonts w:ascii="Times New Roman" w:hAnsi="Times New Roman" w:cs="Times New Roman"/>
          <w:noProof/>
        </w:rPr>
        <w:drawing>
          <wp:inline distT="0" distB="0" distL="0" distR="0" wp14:anchorId="34B5A4F2" wp14:editId="3FED50C1">
            <wp:extent cx="5486400" cy="2240280"/>
            <wp:effectExtent l="0" t="0" r="0" b="762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4D3AE68" w14:textId="26DEEAA4" w:rsidR="008D39EF" w:rsidRDefault="008D39EF" w:rsidP="008D39EF">
      <w:pPr>
        <w:spacing w:before="120" w:after="120" w:line="264" w:lineRule="auto"/>
        <w:jc w:val="both"/>
        <w:rPr>
          <w:rFonts w:ascii="Times New Roman" w:hAnsi="Times New Roman" w:cs="Times New Roman"/>
          <w:lang w:val="bg-BG"/>
        </w:rPr>
      </w:pPr>
      <w:r w:rsidRPr="008D39EF">
        <w:rPr>
          <w:rFonts w:ascii="Times New Roman" w:hAnsi="Times New Roman" w:cs="Times New Roman"/>
          <w:lang w:val="bg-BG"/>
        </w:rPr>
        <w:t xml:space="preserve">През </w:t>
      </w:r>
      <w:r w:rsidR="00EF271D" w:rsidRPr="008D39EF">
        <w:rPr>
          <w:rFonts w:ascii="Times New Roman" w:hAnsi="Times New Roman" w:cs="Times New Roman"/>
          <w:lang w:val="bg-BG"/>
        </w:rPr>
        <w:t xml:space="preserve">2018 </w:t>
      </w:r>
      <w:r w:rsidRPr="008D39EF">
        <w:rPr>
          <w:rFonts w:ascii="Times New Roman" w:hAnsi="Times New Roman" w:cs="Times New Roman"/>
          <w:lang w:val="bg-BG"/>
        </w:rPr>
        <w:t xml:space="preserve">г. </w:t>
      </w:r>
      <w:r w:rsidR="00EF271D" w:rsidRPr="008D39EF">
        <w:rPr>
          <w:rFonts w:ascii="Times New Roman" w:hAnsi="Times New Roman" w:cs="Times New Roman"/>
          <w:lang w:val="bg-BG"/>
        </w:rPr>
        <w:t xml:space="preserve">90,91% от задължените лица в страната са извършили предварителна или същинска регистрация на химични вещества и смеси, които се произвеждат или внасят и пускат на пазара в България в съответствие с изискванията за регистрация на Регламент (EO) № 1907/2006 (REACH). В сравнение с предходната година </w:t>
      </w:r>
      <w:r w:rsidRPr="008D39EF">
        <w:rPr>
          <w:rFonts w:ascii="Times New Roman" w:hAnsi="Times New Roman" w:cs="Times New Roman"/>
          <w:lang w:val="bg-BG"/>
        </w:rPr>
        <w:t xml:space="preserve">(2017) </w:t>
      </w:r>
      <w:r w:rsidR="00EF271D" w:rsidRPr="008D39EF">
        <w:rPr>
          <w:rFonts w:ascii="Times New Roman" w:hAnsi="Times New Roman" w:cs="Times New Roman"/>
          <w:lang w:val="bg-BG"/>
        </w:rPr>
        <w:t xml:space="preserve">се наблюдава намаление на задължените лица, които са извършили предварителна или същинска регистрация, в т.ч. промяна в ролята им по веригата на доставки (потребители по веригата и дистрибутори). </w:t>
      </w:r>
    </w:p>
    <w:p w14:paraId="51911651" w14:textId="520AE577" w:rsidR="008D39EF" w:rsidRPr="008D39EF" w:rsidRDefault="008D39EF" w:rsidP="008D39EF">
      <w:pPr>
        <w:spacing w:before="120" w:after="120" w:line="264" w:lineRule="auto"/>
        <w:jc w:val="both"/>
        <w:rPr>
          <w:rFonts w:ascii="Times New Roman" w:hAnsi="Times New Roman" w:cs="Times New Roman"/>
          <w:lang w:val="bg-BG"/>
        </w:rPr>
      </w:pPr>
      <w:r w:rsidRPr="008D39EF">
        <w:rPr>
          <w:rFonts w:ascii="Times New Roman" w:hAnsi="Times New Roman" w:cs="Times New Roman"/>
          <w:lang w:val="bg-BG"/>
        </w:rPr>
        <w:t>През 2019 г. 89,4% от задължените лица в страната са извършили предварителна или същинска регистрация на химични вещества и смеси, които се произвеждат или внасят и пускат на пазара в България в съответствие с изискванията за регистрация на Регламент (EO) № 1907/2006 (REACH). В сравнение с предходната година се наблюдава слабо намаление (90,91% за 2018 г.) на задължените лица, които са извършили предварителна или същинска регистрация, в т.ч. промяна в ролята им по веригата на доставки (потребители по веригата и дистрибутори).</w:t>
      </w:r>
    </w:p>
    <w:p w14:paraId="6E519D5B" w14:textId="7BA123C9" w:rsidR="009402A1" w:rsidRDefault="009402A1" w:rsidP="00EF271D">
      <w:pPr>
        <w:spacing w:before="100" w:beforeAutospacing="1" w:after="100" w:afterAutospacing="1" w:line="240" w:lineRule="auto"/>
        <w:rPr>
          <w:rFonts w:ascii="Times New Roman" w:eastAsia="Times New Roman" w:hAnsi="Times New Roman" w:cs="Times New Roman"/>
          <w:sz w:val="24"/>
          <w:szCs w:val="24"/>
          <w:lang w:val="bg-BG" w:eastAsia="en-GB"/>
        </w:rPr>
      </w:pPr>
      <w:r>
        <w:rPr>
          <w:rFonts w:ascii="Times New Roman" w:eastAsia="Times New Roman" w:hAnsi="Times New Roman" w:cs="Times New Roman"/>
          <w:sz w:val="24"/>
          <w:szCs w:val="24"/>
          <w:lang w:val="bg-BG" w:eastAsia="en-GB"/>
        </w:rPr>
        <w:t>По отношение на извършените проверки, се наблюдава следното:</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406"/>
      </w:tblGrid>
      <w:tr w:rsidR="009402A1" w:rsidRPr="003B396B" w14:paraId="5E915F8A" w14:textId="77777777" w:rsidTr="00871407">
        <w:trPr>
          <w:tblCellSpacing w:w="15" w:type="dxa"/>
        </w:trPr>
        <w:tc>
          <w:tcPr>
            <w:tcW w:w="0" w:type="auto"/>
            <w:vAlign w:val="center"/>
            <w:hideMark/>
          </w:tcPr>
          <w:tbl>
            <w:tblPr>
              <w:tblStyle w:val="TableGrid"/>
              <w:tblW w:w="0" w:type="auto"/>
              <w:tblLook w:val="04A0" w:firstRow="1" w:lastRow="0" w:firstColumn="1" w:lastColumn="0" w:noHBand="0" w:noVBand="1"/>
            </w:tblPr>
            <w:tblGrid>
              <w:gridCol w:w="1899"/>
              <w:gridCol w:w="1900"/>
              <w:gridCol w:w="1901"/>
              <w:gridCol w:w="1803"/>
              <w:gridCol w:w="1803"/>
            </w:tblGrid>
            <w:tr w:rsidR="009402A1" w14:paraId="6215D1F4" w14:textId="77777777" w:rsidTr="007663AD">
              <w:trPr>
                <w:trHeight w:val="532"/>
              </w:trPr>
              <w:tc>
                <w:tcPr>
                  <w:tcW w:w="1899" w:type="dxa"/>
                </w:tcPr>
                <w:p w14:paraId="61339451" w14:textId="77777777" w:rsidR="009402A1" w:rsidRPr="006E638D" w:rsidRDefault="009402A1" w:rsidP="00871407">
                  <w:pPr>
                    <w:spacing w:before="100" w:beforeAutospacing="1" w:after="100" w:afterAutospacing="1"/>
                    <w:jc w:val="both"/>
                    <w:rPr>
                      <w:rFonts w:ascii="Times New Roman" w:eastAsia="Times New Roman" w:hAnsi="Times New Roman" w:cs="Times New Roman"/>
                      <w:lang w:val="bg-BG" w:eastAsia="en-GB"/>
                    </w:rPr>
                  </w:pPr>
                  <w:r w:rsidRPr="006E638D">
                    <w:rPr>
                      <w:rFonts w:ascii="Times New Roman" w:eastAsia="Times New Roman" w:hAnsi="Times New Roman" w:cs="Times New Roman"/>
                      <w:lang w:val="bg-BG" w:eastAsia="en-GB"/>
                    </w:rPr>
                    <w:t>Година</w:t>
                  </w:r>
                </w:p>
              </w:tc>
              <w:tc>
                <w:tcPr>
                  <w:tcW w:w="1900" w:type="dxa"/>
                </w:tcPr>
                <w:p w14:paraId="12CDD280" w14:textId="77777777" w:rsidR="009402A1" w:rsidRPr="006E638D" w:rsidRDefault="009402A1" w:rsidP="00871407">
                  <w:pPr>
                    <w:spacing w:before="100" w:beforeAutospacing="1" w:after="100" w:afterAutospacing="1"/>
                    <w:jc w:val="center"/>
                    <w:rPr>
                      <w:rFonts w:ascii="Times New Roman" w:eastAsia="Times New Roman" w:hAnsi="Times New Roman" w:cs="Times New Roman"/>
                      <w:b/>
                      <w:bCs/>
                      <w:lang w:eastAsia="en-GB"/>
                    </w:rPr>
                  </w:pPr>
                  <w:r w:rsidRPr="006E638D">
                    <w:rPr>
                      <w:rFonts w:ascii="Times New Roman" w:eastAsia="Times New Roman" w:hAnsi="Times New Roman" w:cs="Times New Roman"/>
                      <w:b/>
                      <w:bCs/>
                      <w:lang w:eastAsia="en-GB"/>
                    </w:rPr>
                    <w:t>2016</w:t>
                  </w:r>
                </w:p>
              </w:tc>
              <w:tc>
                <w:tcPr>
                  <w:tcW w:w="1901" w:type="dxa"/>
                </w:tcPr>
                <w:p w14:paraId="7D1141A0" w14:textId="77777777" w:rsidR="009402A1" w:rsidRPr="006E638D" w:rsidRDefault="009402A1" w:rsidP="00871407">
                  <w:pPr>
                    <w:spacing w:before="100" w:beforeAutospacing="1" w:after="100" w:afterAutospacing="1"/>
                    <w:jc w:val="center"/>
                    <w:rPr>
                      <w:rFonts w:ascii="Times New Roman" w:eastAsia="Times New Roman" w:hAnsi="Times New Roman" w:cs="Times New Roman"/>
                      <w:b/>
                      <w:bCs/>
                      <w:lang w:eastAsia="en-GB"/>
                    </w:rPr>
                  </w:pPr>
                  <w:r w:rsidRPr="006E638D">
                    <w:rPr>
                      <w:rFonts w:ascii="Times New Roman" w:eastAsia="Times New Roman" w:hAnsi="Times New Roman" w:cs="Times New Roman"/>
                      <w:b/>
                      <w:bCs/>
                      <w:lang w:eastAsia="en-GB"/>
                    </w:rPr>
                    <w:t>2017</w:t>
                  </w:r>
                </w:p>
              </w:tc>
              <w:tc>
                <w:tcPr>
                  <w:tcW w:w="1803" w:type="dxa"/>
                </w:tcPr>
                <w:p w14:paraId="1A0FA21F" w14:textId="77777777" w:rsidR="009402A1" w:rsidRPr="006E638D" w:rsidRDefault="009402A1" w:rsidP="00871407">
                  <w:pPr>
                    <w:spacing w:before="100" w:beforeAutospacing="1" w:after="100" w:afterAutospacing="1"/>
                    <w:jc w:val="center"/>
                    <w:rPr>
                      <w:rFonts w:ascii="Times New Roman" w:eastAsia="Times New Roman" w:hAnsi="Times New Roman" w:cs="Times New Roman"/>
                      <w:b/>
                      <w:bCs/>
                      <w:lang w:eastAsia="en-GB"/>
                    </w:rPr>
                  </w:pPr>
                  <w:r w:rsidRPr="006E638D">
                    <w:rPr>
                      <w:rFonts w:ascii="Times New Roman" w:eastAsia="Times New Roman" w:hAnsi="Times New Roman" w:cs="Times New Roman"/>
                      <w:b/>
                      <w:bCs/>
                      <w:lang w:eastAsia="en-GB"/>
                    </w:rPr>
                    <w:t>2018</w:t>
                  </w:r>
                </w:p>
              </w:tc>
              <w:tc>
                <w:tcPr>
                  <w:tcW w:w="1803" w:type="dxa"/>
                </w:tcPr>
                <w:p w14:paraId="64CB30A3" w14:textId="77777777" w:rsidR="009402A1" w:rsidRPr="006E638D" w:rsidRDefault="009402A1" w:rsidP="00871407">
                  <w:pPr>
                    <w:spacing w:before="100" w:beforeAutospacing="1" w:after="100" w:afterAutospacing="1"/>
                    <w:jc w:val="center"/>
                    <w:rPr>
                      <w:rFonts w:ascii="Times New Roman" w:eastAsia="Times New Roman" w:hAnsi="Times New Roman" w:cs="Times New Roman"/>
                      <w:b/>
                      <w:bCs/>
                      <w:lang w:eastAsia="en-GB"/>
                    </w:rPr>
                  </w:pPr>
                  <w:r w:rsidRPr="006E638D">
                    <w:rPr>
                      <w:rFonts w:ascii="Times New Roman" w:eastAsia="Times New Roman" w:hAnsi="Times New Roman" w:cs="Times New Roman"/>
                      <w:b/>
                      <w:bCs/>
                      <w:lang w:eastAsia="en-GB"/>
                    </w:rPr>
                    <w:t>2019</w:t>
                  </w:r>
                </w:p>
              </w:tc>
            </w:tr>
            <w:tr w:rsidR="009402A1" w14:paraId="410CC023" w14:textId="77777777" w:rsidTr="007663AD">
              <w:tc>
                <w:tcPr>
                  <w:tcW w:w="1899" w:type="dxa"/>
                </w:tcPr>
                <w:p w14:paraId="7A245754" w14:textId="14EB4F1F" w:rsidR="009402A1" w:rsidRPr="006E638D" w:rsidRDefault="009402A1"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Брой проверени задължени лица</w:t>
                  </w:r>
                  <w:r w:rsidR="009A3356">
                    <w:rPr>
                      <w:rFonts w:ascii="Times New Roman" w:eastAsia="Times New Roman" w:hAnsi="Times New Roman" w:cs="Times New Roman"/>
                      <w:lang w:val="bg-BG" w:eastAsia="en-GB"/>
                    </w:rPr>
                    <w:t xml:space="preserve"> (производители и вносители):</w:t>
                  </w:r>
                </w:p>
              </w:tc>
              <w:tc>
                <w:tcPr>
                  <w:tcW w:w="1900" w:type="dxa"/>
                </w:tcPr>
                <w:p w14:paraId="5F371B9D" w14:textId="4F696504" w:rsidR="009402A1" w:rsidRPr="00D9741F" w:rsidRDefault="00D9741F"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126</w:t>
                  </w:r>
                </w:p>
              </w:tc>
              <w:tc>
                <w:tcPr>
                  <w:tcW w:w="1901" w:type="dxa"/>
                </w:tcPr>
                <w:p w14:paraId="602B37AA" w14:textId="619F357B" w:rsidR="009402A1" w:rsidRPr="007663AD" w:rsidRDefault="007663AD"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227</w:t>
                  </w:r>
                </w:p>
              </w:tc>
              <w:tc>
                <w:tcPr>
                  <w:tcW w:w="1803" w:type="dxa"/>
                </w:tcPr>
                <w:p w14:paraId="75036898" w14:textId="2CBE1E33" w:rsidR="009402A1" w:rsidRPr="007663AD" w:rsidRDefault="007663AD"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741</w:t>
                  </w:r>
                </w:p>
              </w:tc>
              <w:tc>
                <w:tcPr>
                  <w:tcW w:w="1803" w:type="dxa"/>
                </w:tcPr>
                <w:p w14:paraId="1ED08861" w14:textId="0BA92779" w:rsidR="009402A1" w:rsidRPr="009A3356" w:rsidRDefault="009A3356"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741</w:t>
                  </w:r>
                </w:p>
              </w:tc>
            </w:tr>
            <w:tr w:rsidR="007663AD" w14:paraId="48AD6A13" w14:textId="77777777" w:rsidTr="001D7382">
              <w:tc>
                <w:tcPr>
                  <w:tcW w:w="9306" w:type="dxa"/>
                  <w:gridSpan w:val="5"/>
                </w:tcPr>
                <w:p w14:paraId="14D6538F" w14:textId="77777777" w:rsidR="005E057F" w:rsidRDefault="007663AD" w:rsidP="009A3356">
                  <w:pPr>
                    <w:spacing w:before="100" w:beforeAutospacing="1" w:after="100" w:afterAutospacing="1"/>
                    <w:jc w:val="center"/>
                    <w:rPr>
                      <w:rFonts w:ascii="Times New Roman" w:eastAsia="Times New Roman" w:hAnsi="Times New Roman" w:cs="Times New Roman"/>
                      <w:b/>
                      <w:lang w:val="bg-BG" w:eastAsia="en-GB"/>
                    </w:rPr>
                  </w:pPr>
                  <w:r w:rsidRPr="007663AD">
                    <w:rPr>
                      <w:rFonts w:ascii="Times New Roman" w:eastAsia="Times New Roman" w:hAnsi="Times New Roman" w:cs="Times New Roman"/>
                      <w:b/>
                      <w:lang w:val="bg-BG" w:eastAsia="en-GB"/>
                    </w:rPr>
                    <w:t>Проверки за:</w:t>
                  </w:r>
                </w:p>
                <w:p w14:paraId="0DA6879E" w14:textId="5FB3EEA0" w:rsidR="009A3356" w:rsidRPr="009A3356" w:rsidRDefault="009A3356" w:rsidP="009A3356">
                  <w:pPr>
                    <w:spacing w:before="100" w:beforeAutospacing="1" w:after="100" w:afterAutospacing="1"/>
                    <w:jc w:val="center"/>
                    <w:rPr>
                      <w:rFonts w:ascii="Times New Roman" w:eastAsia="Times New Roman" w:hAnsi="Times New Roman" w:cs="Times New Roman"/>
                      <w:b/>
                      <w:lang w:val="bg-BG" w:eastAsia="en-GB"/>
                    </w:rPr>
                  </w:pPr>
                </w:p>
              </w:tc>
            </w:tr>
            <w:tr w:rsidR="009402A1" w14:paraId="15C96B1D" w14:textId="77777777" w:rsidTr="007663AD">
              <w:tc>
                <w:tcPr>
                  <w:tcW w:w="1899" w:type="dxa"/>
                </w:tcPr>
                <w:p w14:paraId="2DD68D6A" w14:textId="4FBBDEA2" w:rsidR="009402A1" w:rsidRPr="007663AD" w:rsidRDefault="007663AD" w:rsidP="00871407">
                  <w:pPr>
                    <w:spacing w:before="100" w:beforeAutospacing="1" w:after="100" w:afterAutospacing="1"/>
                    <w:jc w:val="both"/>
                    <w:rPr>
                      <w:rFonts w:ascii="Times New Roman" w:eastAsia="Times New Roman" w:hAnsi="Times New Roman" w:cs="Times New Roman"/>
                      <w:b/>
                      <w:i/>
                      <w:lang w:val="bg-BG" w:eastAsia="en-GB"/>
                    </w:rPr>
                  </w:pPr>
                  <w:r>
                    <w:rPr>
                      <w:rFonts w:ascii="Times New Roman" w:eastAsia="Times New Roman" w:hAnsi="Times New Roman" w:cs="Times New Roman"/>
                      <w:b/>
                      <w:i/>
                      <w:sz w:val="24"/>
                      <w:szCs w:val="24"/>
                      <w:lang w:val="bg-BG" w:eastAsia="en-GB"/>
                    </w:rPr>
                    <w:t>С</w:t>
                  </w:r>
                  <w:r w:rsidR="009402A1" w:rsidRPr="007663AD">
                    <w:rPr>
                      <w:rFonts w:ascii="Times New Roman" w:eastAsia="Times New Roman" w:hAnsi="Times New Roman" w:cs="Times New Roman"/>
                      <w:b/>
                      <w:i/>
                      <w:sz w:val="24"/>
                      <w:szCs w:val="24"/>
                      <w:lang w:eastAsia="en-GB"/>
                    </w:rPr>
                    <w:t>ъщинска регистрация</w:t>
                  </w:r>
                </w:p>
              </w:tc>
              <w:tc>
                <w:tcPr>
                  <w:tcW w:w="1900" w:type="dxa"/>
                </w:tcPr>
                <w:p w14:paraId="1AFBF0A1" w14:textId="6741A934" w:rsidR="009402A1" w:rsidRPr="007663AD" w:rsidRDefault="00D9741F" w:rsidP="00871407">
                  <w:pPr>
                    <w:spacing w:before="100" w:beforeAutospacing="1" w:after="100" w:afterAutospacing="1"/>
                    <w:jc w:val="both"/>
                    <w:rPr>
                      <w:rFonts w:ascii="Times New Roman" w:eastAsia="Times New Roman" w:hAnsi="Times New Roman" w:cs="Times New Roman"/>
                      <w:b/>
                      <w:i/>
                      <w:lang w:val="bg-BG" w:eastAsia="en-GB"/>
                    </w:rPr>
                  </w:pPr>
                  <w:r w:rsidRPr="007663AD">
                    <w:rPr>
                      <w:rFonts w:ascii="Times New Roman" w:eastAsia="Times New Roman" w:hAnsi="Times New Roman" w:cs="Times New Roman"/>
                      <w:b/>
                      <w:i/>
                      <w:lang w:val="bg-BG" w:eastAsia="en-GB"/>
                    </w:rPr>
                    <w:t>60</w:t>
                  </w:r>
                </w:p>
              </w:tc>
              <w:tc>
                <w:tcPr>
                  <w:tcW w:w="1901" w:type="dxa"/>
                </w:tcPr>
                <w:p w14:paraId="4E4B1127" w14:textId="04FBAE23" w:rsidR="009402A1" w:rsidRPr="007663AD" w:rsidRDefault="007663AD" w:rsidP="00871407">
                  <w:pPr>
                    <w:spacing w:before="100" w:beforeAutospacing="1" w:after="100" w:afterAutospacing="1"/>
                    <w:jc w:val="both"/>
                    <w:rPr>
                      <w:rFonts w:ascii="Times New Roman" w:eastAsia="Times New Roman" w:hAnsi="Times New Roman" w:cs="Times New Roman"/>
                      <w:b/>
                      <w:i/>
                      <w:lang w:val="bg-BG" w:eastAsia="en-GB"/>
                    </w:rPr>
                  </w:pPr>
                  <w:r w:rsidRPr="007663AD">
                    <w:rPr>
                      <w:rFonts w:ascii="Times New Roman" w:eastAsia="Times New Roman" w:hAnsi="Times New Roman" w:cs="Times New Roman"/>
                      <w:b/>
                      <w:i/>
                      <w:lang w:val="bg-BG" w:eastAsia="en-GB"/>
                    </w:rPr>
                    <w:t>123</w:t>
                  </w:r>
                </w:p>
              </w:tc>
              <w:tc>
                <w:tcPr>
                  <w:tcW w:w="1803" w:type="dxa"/>
                </w:tcPr>
                <w:p w14:paraId="7924D84B" w14:textId="4312E52C" w:rsidR="009402A1" w:rsidRPr="009A3356" w:rsidRDefault="009A3356" w:rsidP="00871407">
                  <w:pPr>
                    <w:spacing w:before="100" w:beforeAutospacing="1" w:after="100" w:afterAutospacing="1"/>
                    <w:jc w:val="both"/>
                    <w:rPr>
                      <w:rFonts w:ascii="Times New Roman" w:eastAsia="Times New Roman" w:hAnsi="Times New Roman" w:cs="Times New Roman"/>
                      <w:b/>
                      <w:i/>
                      <w:lang w:val="bg-BG" w:eastAsia="en-GB"/>
                    </w:rPr>
                  </w:pPr>
                  <w:r>
                    <w:rPr>
                      <w:rFonts w:ascii="Times New Roman" w:eastAsia="Times New Roman" w:hAnsi="Times New Roman" w:cs="Times New Roman"/>
                      <w:b/>
                      <w:i/>
                      <w:lang w:val="bg-BG" w:eastAsia="en-GB"/>
                    </w:rPr>
                    <w:t>143</w:t>
                  </w:r>
                </w:p>
                <w:p w14:paraId="30DDD5A4" w14:textId="3ADC86A1" w:rsidR="005E057F" w:rsidRPr="009A3356" w:rsidRDefault="005E057F" w:rsidP="00871407">
                  <w:pPr>
                    <w:spacing w:before="100" w:beforeAutospacing="1" w:after="100" w:afterAutospacing="1"/>
                    <w:jc w:val="both"/>
                    <w:rPr>
                      <w:rFonts w:ascii="Times New Roman" w:eastAsia="Times New Roman" w:hAnsi="Times New Roman" w:cs="Times New Roman"/>
                      <w:b/>
                      <w:i/>
                      <w:lang w:val="bg-BG" w:eastAsia="en-GB"/>
                    </w:rPr>
                  </w:pPr>
                </w:p>
              </w:tc>
              <w:tc>
                <w:tcPr>
                  <w:tcW w:w="1803" w:type="dxa"/>
                </w:tcPr>
                <w:p w14:paraId="4959D190" w14:textId="6AC13A76" w:rsidR="009402A1" w:rsidRPr="009A3356" w:rsidRDefault="009A3356" w:rsidP="00871407">
                  <w:pPr>
                    <w:spacing w:before="100" w:beforeAutospacing="1" w:after="100" w:afterAutospacing="1"/>
                    <w:jc w:val="both"/>
                    <w:rPr>
                      <w:rFonts w:ascii="Times New Roman" w:eastAsia="Times New Roman" w:hAnsi="Times New Roman" w:cs="Times New Roman"/>
                      <w:b/>
                      <w:i/>
                      <w:lang w:val="bg-BG" w:eastAsia="en-GB"/>
                    </w:rPr>
                  </w:pPr>
                  <w:r>
                    <w:rPr>
                      <w:rFonts w:ascii="Times New Roman" w:eastAsia="Times New Roman" w:hAnsi="Times New Roman" w:cs="Times New Roman"/>
                      <w:b/>
                      <w:i/>
                      <w:lang w:val="bg-BG" w:eastAsia="en-GB"/>
                    </w:rPr>
                    <w:t>108</w:t>
                  </w:r>
                </w:p>
              </w:tc>
            </w:tr>
            <w:tr w:rsidR="009402A1" w14:paraId="44AC205C" w14:textId="77777777" w:rsidTr="007663AD">
              <w:tc>
                <w:tcPr>
                  <w:tcW w:w="1899" w:type="dxa"/>
                </w:tcPr>
                <w:p w14:paraId="6B1EFD4B" w14:textId="52E99808" w:rsidR="009402A1" w:rsidRPr="006E638D" w:rsidRDefault="00D9741F"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Констатирани несъответсвия</w:t>
                  </w:r>
                </w:p>
              </w:tc>
              <w:tc>
                <w:tcPr>
                  <w:tcW w:w="1900" w:type="dxa"/>
                </w:tcPr>
                <w:p w14:paraId="1EE80435" w14:textId="260F5429" w:rsidR="009402A1" w:rsidRPr="00D9741F" w:rsidRDefault="00D9741F"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4</w:t>
                  </w:r>
                </w:p>
              </w:tc>
              <w:tc>
                <w:tcPr>
                  <w:tcW w:w="1901" w:type="dxa"/>
                </w:tcPr>
                <w:p w14:paraId="45F636B3" w14:textId="5E6F8269" w:rsidR="009402A1" w:rsidRPr="007663AD" w:rsidRDefault="007663AD"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5</w:t>
                  </w:r>
                </w:p>
              </w:tc>
              <w:tc>
                <w:tcPr>
                  <w:tcW w:w="1803" w:type="dxa"/>
                </w:tcPr>
                <w:p w14:paraId="119D5BE1" w14:textId="58C8DFE0" w:rsidR="009402A1" w:rsidRPr="009A3356" w:rsidRDefault="009A3356"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12</w:t>
                  </w:r>
                </w:p>
              </w:tc>
              <w:tc>
                <w:tcPr>
                  <w:tcW w:w="1803" w:type="dxa"/>
                </w:tcPr>
                <w:p w14:paraId="5CDA7AF6" w14:textId="00F5B073" w:rsidR="009402A1" w:rsidRPr="009A3356" w:rsidRDefault="009A3356"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8</w:t>
                  </w:r>
                </w:p>
              </w:tc>
            </w:tr>
            <w:tr w:rsidR="009402A1" w14:paraId="2AB6209B" w14:textId="77777777" w:rsidTr="007663AD">
              <w:tc>
                <w:tcPr>
                  <w:tcW w:w="1899" w:type="dxa"/>
                </w:tcPr>
                <w:p w14:paraId="469F0762" w14:textId="656A2B1C" w:rsidR="009402A1" w:rsidRPr="006E638D" w:rsidRDefault="00D9741F"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Констатирани нарушения</w:t>
                  </w:r>
                </w:p>
              </w:tc>
              <w:tc>
                <w:tcPr>
                  <w:tcW w:w="1900" w:type="dxa"/>
                </w:tcPr>
                <w:p w14:paraId="5DEB114B" w14:textId="6C3AC69C" w:rsidR="009402A1" w:rsidRPr="00D9741F" w:rsidRDefault="00D9741F"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4</w:t>
                  </w:r>
                </w:p>
              </w:tc>
              <w:tc>
                <w:tcPr>
                  <w:tcW w:w="1901" w:type="dxa"/>
                </w:tcPr>
                <w:p w14:paraId="1E034A28" w14:textId="2A833F3D" w:rsidR="009402A1" w:rsidRPr="007663AD" w:rsidRDefault="007663AD"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1</w:t>
                  </w:r>
                </w:p>
              </w:tc>
              <w:tc>
                <w:tcPr>
                  <w:tcW w:w="1803" w:type="dxa"/>
                </w:tcPr>
                <w:p w14:paraId="7F40A72F" w14:textId="7B060492" w:rsidR="009402A1" w:rsidRPr="009A3356" w:rsidRDefault="009A3356"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4</w:t>
                  </w:r>
                </w:p>
              </w:tc>
              <w:tc>
                <w:tcPr>
                  <w:tcW w:w="1803" w:type="dxa"/>
                </w:tcPr>
                <w:p w14:paraId="6E5AC14A" w14:textId="01C8B585" w:rsidR="009402A1" w:rsidRPr="009A3356" w:rsidRDefault="009A3356"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4</w:t>
                  </w:r>
                </w:p>
              </w:tc>
            </w:tr>
            <w:tr w:rsidR="009402A1" w14:paraId="40B11924" w14:textId="77777777" w:rsidTr="007663AD">
              <w:tc>
                <w:tcPr>
                  <w:tcW w:w="1899" w:type="dxa"/>
                </w:tcPr>
                <w:p w14:paraId="280DA35E" w14:textId="1807E1C8" w:rsidR="009402A1" w:rsidRPr="007663AD" w:rsidRDefault="007663AD" w:rsidP="00871407">
                  <w:pPr>
                    <w:spacing w:before="100" w:beforeAutospacing="1" w:after="100" w:afterAutospacing="1"/>
                    <w:jc w:val="both"/>
                    <w:rPr>
                      <w:rFonts w:ascii="Times New Roman" w:eastAsia="Times New Roman" w:hAnsi="Times New Roman" w:cs="Times New Roman"/>
                      <w:b/>
                      <w:i/>
                      <w:lang w:val="bg-BG" w:eastAsia="en-GB"/>
                    </w:rPr>
                  </w:pPr>
                  <w:r w:rsidRPr="007663AD">
                    <w:rPr>
                      <w:rFonts w:ascii="Times New Roman" w:eastAsia="Times New Roman" w:hAnsi="Times New Roman" w:cs="Times New Roman"/>
                      <w:b/>
                      <w:i/>
                      <w:sz w:val="24"/>
                      <w:szCs w:val="24"/>
                      <w:lang w:val="bg-BG" w:eastAsia="en-GB"/>
                    </w:rPr>
                    <w:t>П</w:t>
                  </w:r>
                  <w:r w:rsidR="00D9741F" w:rsidRPr="007663AD">
                    <w:rPr>
                      <w:rFonts w:ascii="Times New Roman" w:eastAsia="Times New Roman" w:hAnsi="Times New Roman" w:cs="Times New Roman"/>
                      <w:b/>
                      <w:i/>
                      <w:sz w:val="24"/>
                      <w:szCs w:val="24"/>
                      <w:lang w:eastAsia="en-GB"/>
                    </w:rPr>
                    <w:t>редварителна регистрация</w:t>
                  </w:r>
                </w:p>
              </w:tc>
              <w:tc>
                <w:tcPr>
                  <w:tcW w:w="1900" w:type="dxa"/>
                </w:tcPr>
                <w:p w14:paraId="2E410472" w14:textId="4B483EA0" w:rsidR="009402A1" w:rsidRPr="007663AD" w:rsidRDefault="00D9741F" w:rsidP="00871407">
                  <w:pPr>
                    <w:spacing w:before="100" w:beforeAutospacing="1" w:after="100" w:afterAutospacing="1"/>
                    <w:jc w:val="both"/>
                    <w:rPr>
                      <w:rFonts w:ascii="Times New Roman" w:eastAsia="Times New Roman" w:hAnsi="Times New Roman" w:cs="Times New Roman"/>
                      <w:b/>
                      <w:i/>
                      <w:lang w:val="bg-BG" w:eastAsia="en-GB"/>
                    </w:rPr>
                  </w:pPr>
                  <w:r w:rsidRPr="007663AD">
                    <w:rPr>
                      <w:rFonts w:ascii="Times New Roman" w:eastAsia="Times New Roman" w:hAnsi="Times New Roman" w:cs="Times New Roman"/>
                      <w:b/>
                      <w:i/>
                      <w:lang w:val="bg-BG" w:eastAsia="en-GB"/>
                    </w:rPr>
                    <w:t>66</w:t>
                  </w:r>
                </w:p>
              </w:tc>
              <w:tc>
                <w:tcPr>
                  <w:tcW w:w="1901" w:type="dxa"/>
                </w:tcPr>
                <w:p w14:paraId="0F546534" w14:textId="68E09E6C" w:rsidR="009402A1" w:rsidRPr="007663AD" w:rsidRDefault="007663AD" w:rsidP="00871407">
                  <w:pPr>
                    <w:spacing w:before="100" w:beforeAutospacing="1" w:after="100" w:afterAutospacing="1"/>
                    <w:jc w:val="both"/>
                    <w:rPr>
                      <w:rFonts w:ascii="Times New Roman" w:eastAsia="Times New Roman" w:hAnsi="Times New Roman" w:cs="Times New Roman"/>
                      <w:b/>
                      <w:i/>
                      <w:lang w:val="bg-BG" w:eastAsia="en-GB"/>
                    </w:rPr>
                  </w:pPr>
                  <w:r w:rsidRPr="007663AD">
                    <w:rPr>
                      <w:rFonts w:ascii="Times New Roman" w:eastAsia="Times New Roman" w:hAnsi="Times New Roman" w:cs="Times New Roman"/>
                      <w:b/>
                      <w:i/>
                      <w:lang w:val="bg-BG" w:eastAsia="en-GB"/>
                    </w:rPr>
                    <w:t>104</w:t>
                  </w:r>
                </w:p>
              </w:tc>
              <w:tc>
                <w:tcPr>
                  <w:tcW w:w="1803" w:type="dxa"/>
                </w:tcPr>
                <w:p w14:paraId="33BB42EC" w14:textId="1E085AFE" w:rsidR="009402A1" w:rsidRPr="009A3356" w:rsidRDefault="009A3356"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33</w:t>
                  </w:r>
                </w:p>
              </w:tc>
              <w:tc>
                <w:tcPr>
                  <w:tcW w:w="1803" w:type="dxa"/>
                </w:tcPr>
                <w:p w14:paraId="32033911" w14:textId="3B864558" w:rsidR="009402A1" w:rsidRPr="009A3356" w:rsidRDefault="009A3356" w:rsidP="00871407">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24</w:t>
                  </w:r>
                </w:p>
              </w:tc>
            </w:tr>
            <w:tr w:rsidR="007663AD" w14:paraId="4DB15291" w14:textId="77777777" w:rsidTr="007663AD">
              <w:tc>
                <w:tcPr>
                  <w:tcW w:w="1899" w:type="dxa"/>
                </w:tcPr>
                <w:p w14:paraId="57EE2E0B" w14:textId="747BBB92" w:rsidR="007663AD" w:rsidRPr="003B396B" w:rsidRDefault="007663AD" w:rsidP="007663AD">
                  <w:pPr>
                    <w:spacing w:before="100" w:beforeAutospacing="1" w:after="100" w:afterAutospacing="1"/>
                    <w:jc w:val="both"/>
                    <w:rPr>
                      <w:rFonts w:ascii="Times New Roman" w:eastAsia="Times New Roman" w:hAnsi="Times New Roman" w:cs="Times New Roman"/>
                      <w:sz w:val="24"/>
                      <w:szCs w:val="24"/>
                      <w:lang w:eastAsia="en-GB"/>
                    </w:rPr>
                  </w:pPr>
                  <w:r>
                    <w:rPr>
                      <w:rFonts w:ascii="Times New Roman" w:eastAsia="Times New Roman" w:hAnsi="Times New Roman" w:cs="Times New Roman"/>
                      <w:lang w:val="bg-BG" w:eastAsia="en-GB"/>
                    </w:rPr>
                    <w:t>Констатирани несъответсвия</w:t>
                  </w:r>
                </w:p>
              </w:tc>
              <w:tc>
                <w:tcPr>
                  <w:tcW w:w="1900" w:type="dxa"/>
                </w:tcPr>
                <w:p w14:paraId="6769450C" w14:textId="2AAED4A7" w:rsidR="007663AD" w:rsidRDefault="007663AD" w:rsidP="007663AD">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3</w:t>
                  </w:r>
                </w:p>
              </w:tc>
              <w:tc>
                <w:tcPr>
                  <w:tcW w:w="1901" w:type="dxa"/>
                </w:tcPr>
                <w:p w14:paraId="4C8AC12A" w14:textId="64216A0B" w:rsidR="007663AD" w:rsidRPr="007663AD" w:rsidRDefault="007663AD" w:rsidP="007663AD">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3</w:t>
                  </w:r>
                </w:p>
              </w:tc>
              <w:tc>
                <w:tcPr>
                  <w:tcW w:w="1803" w:type="dxa"/>
                </w:tcPr>
                <w:p w14:paraId="02214001" w14:textId="06238E10" w:rsidR="007663AD" w:rsidRPr="009A3356" w:rsidRDefault="009A3356" w:rsidP="007663AD">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0</w:t>
                  </w:r>
                </w:p>
              </w:tc>
              <w:tc>
                <w:tcPr>
                  <w:tcW w:w="1803" w:type="dxa"/>
                </w:tcPr>
                <w:p w14:paraId="50A10E60" w14:textId="38F6EEBD" w:rsidR="007663AD" w:rsidRPr="009A3356" w:rsidRDefault="009A3356" w:rsidP="007663AD">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1</w:t>
                  </w:r>
                </w:p>
              </w:tc>
            </w:tr>
            <w:tr w:rsidR="007663AD" w14:paraId="724DAD2D" w14:textId="77777777" w:rsidTr="007663AD">
              <w:tc>
                <w:tcPr>
                  <w:tcW w:w="1899" w:type="dxa"/>
                </w:tcPr>
                <w:p w14:paraId="380E1A34" w14:textId="49D7CC32" w:rsidR="007663AD" w:rsidRPr="003B396B" w:rsidRDefault="007663AD" w:rsidP="007663AD">
                  <w:pPr>
                    <w:spacing w:before="100" w:beforeAutospacing="1" w:after="100" w:afterAutospacing="1"/>
                    <w:jc w:val="both"/>
                    <w:rPr>
                      <w:rFonts w:ascii="Times New Roman" w:eastAsia="Times New Roman" w:hAnsi="Times New Roman" w:cs="Times New Roman"/>
                      <w:sz w:val="24"/>
                      <w:szCs w:val="24"/>
                      <w:lang w:eastAsia="en-GB"/>
                    </w:rPr>
                  </w:pPr>
                  <w:r>
                    <w:rPr>
                      <w:rFonts w:ascii="Times New Roman" w:eastAsia="Times New Roman" w:hAnsi="Times New Roman" w:cs="Times New Roman"/>
                      <w:lang w:val="bg-BG" w:eastAsia="en-GB"/>
                    </w:rPr>
                    <w:t>Констатирани нарушения</w:t>
                  </w:r>
                </w:p>
              </w:tc>
              <w:tc>
                <w:tcPr>
                  <w:tcW w:w="1900" w:type="dxa"/>
                </w:tcPr>
                <w:p w14:paraId="101020D9" w14:textId="24F7AD8D" w:rsidR="007663AD" w:rsidRDefault="007663AD" w:rsidP="007663AD">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1</w:t>
                  </w:r>
                </w:p>
              </w:tc>
              <w:tc>
                <w:tcPr>
                  <w:tcW w:w="1901" w:type="dxa"/>
                </w:tcPr>
                <w:p w14:paraId="55C8E425" w14:textId="04FB405C" w:rsidR="007663AD" w:rsidRPr="007663AD" w:rsidRDefault="007663AD" w:rsidP="007663AD">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0</w:t>
                  </w:r>
                </w:p>
              </w:tc>
              <w:tc>
                <w:tcPr>
                  <w:tcW w:w="1803" w:type="dxa"/>
                </w:tcPr>
                <w:p w14:paraId="16E54BF1" w14:textId="011804BF" w:rsidR="007663AD" w:rsidRPr="009A3356" w:rsidRDefault="009A3356" w:rsidP="007663AD">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0</w:t>
                  </w:r>
                </w:p>
              </w:tc>
              <w:tc>
                <w:tcPr>
                  <w:tcW w:w="1803" w:type="dxa"/>
                </w:tcPr>
                <w:p w14:paraId="759F109F" w14:textId="588DDEB6" w:rsidR="007663AD" w:rsidRPr="009A3356" w:rsidRDefault="009A3356" w:rsidP="007663AD">
                  <w:pPr>
                    <w:spacing w:before="100" w:beforeAutospacing="1" w:after="100" w:afterAutospacing="1"/>
                    <w:jc w:val="both"/>
                    <w:rPr>
                      <w:rFonts w:ascii="Times New Roman" w:eastAsia="Times New Roman" w:hAnsi="Times New Roman" w:cs="Times New Roman"/>
                      <w:lang w:val="bg-BG" w:eastAsia="en-GB"/>
                    </w:rPr>
                  </w:pPr>
                  <w:r>
                    <w:rPr>
                      <w:rFonts w:ascii="Times New Roman" w:eastAsia="Times New Roman" w:hAnsi="Times New Roman" w:cs="Times New Roman"/>
                      <w:lang w:val="bg-BG" w:eastAsia="en-GB"/>
                    </w:rPr>
                    <w:t>1</w:t>
                  </w:r>
                </w:p>
              </w:tc>
            </w:tr>
          </w:tbl>
          <w:p w14:paraId="2133E2D2" w14:textId="77777777" w:rsidR="009402A1" w:rsidRPr="003B396B" w:rsidRDefault="009402A1" w:rsidP="00871407">
            <w:pPr>
              <w:spacing w:before="100" w:beforeAutospacing="1" w:after="100" w:afterAutospacing="1" w:line="240" w:lineRule="auto"/>
              <w:jc w:val="both"/>
              <w:rPr>
                <w:rFonts w:ascii="Times New Roman" w:eastAsia="Times New Roman" w:hAnsi="Times New Roman" w:cs="Times New Roman"/>
                <w:b/>
                <w:bCs/>
                <w:sz w:val="24"/>
                <w:szCs w:val="24"/>
                <w:lang w:eastAsia="en-GB"/>
              </w:rPr>
            </w:pPr>
          </w:p>
        </w:tc>
      </w:tr>
    </w:tbl>
    <w:p w14:paraId="7EE78AB2" w14:textId="77777777" w:rsidR="00EF271D" w:rsidRPr="00CE38C4" w:rsidRDefault="00EF271D" w:rsidP="00CE38C4">
      <w:pPr>
        <w:spacing w:before="120" w:after="120" w:line="264" w:lineRule="auto"/>
        <w:jc w:val="both"/>
        <w:rPr>
          <w:rFonts w:ascii="Times New Roman" w:eastAsia="Times New Roman" w:hAnsi="Times New Roman" w:cs="Times New Roman"/>
          <w:lang w:val="bg-BG" w:eastAsia="en-GB"/>
        </w:rPr>
      </w:pPr>
      <w:r w:rsidRPr="00CE38C4">
        <w:rPr>
          <w:rFonts w:ascii="Times New Roman" w:eastAsia="Times New Roman" w:hAnsi="Times New Roman" w:cs="Times New Roman"/>
          <w:lang w:val="bg-BG" w:eastAsia="en-GB"/>
        </w:rPr>
        <w:t>През 2018 г. все още се наблюдава активно извършване на съвместна същинска регистрация на потенциални регистранти с предварителна регистрация или нови започващи дейност и достигнали над 1 т./г производство/внос на химични вещества и смеси, особено с оглед на наближаващата крайна дата за същинска регистрация – 31 май 2018 г.</w:t>
      </w:r>
    </w:p>
    <w:p w14:paraId="13C0D863" w14:textId="77777777" w:rsidR="00EF271D" w:rsidRPr="00CE38C4" w:rsidRDefault="00EF271D" w:rsidP="00CE38C4">
      <w:pPr>
        <w:spacing w:before="120" w:after="120" w:line="264" w:lineRule="auto"/>
        <w:jc w:val="both"/>
        <w:rPr>
          <w:rFonts w:ascii="Times New Roman" w:eastAsia="Times New Roman" w:hAnsi="Times New Roman" w:cs="Times New Roman"/>
          <w:lang w:val="bg-BG" w:eastAsia="en-GB"/>
        </w:rPr>
      </w:pPr>
      <w:r w:rsidRPr="00CE38C4">
        <w:rPr>
          <w:rFonts w:ascii="Times New Roman" w:eastAsia="Times New Roman" w:hAnsi="Times New Roman" w:cs="Times New Roman"/>
          <w:lang w:val="bg-BG" w:eastAsia="en-GB"/>
        </w:rPr>
        <w:t>Продължава да се наблюдава тенденция към промяна на ролята във веригата на доставки на производители или вносители със задължения за регистрация, или преустановяване на дейностите по производство или внос, поради следните затруднения при осъществяване на същинска регистрация: трудно извършване на регистрация на вещества, липса на софтуер на български език, високи разходи, сложност на софтуера за извършване на регистрация.</w:t>
      </w:r>
    </w:p>
    <w:p w14:paraId="2887F129" w14:textId="77777777" w:rsidR="00EF271D" w:rsidRPr="00CE38C4" w:rsidRDefault="00EF271D" w:rsidP="00CE38C4">
      <w:pPr>
        <w:spacing w:before="120" w:after="120" w:line="264" w:lineRule="auto"/>
        <w:jc w:val="both"/>
        <w:rPr>
          <w:rFonts w:ascii="Times New Roman" w:eastAsia="Times New Roman" w:hAnsi="Times New Roman" w:cs="Times New Roman"/>
          <w:lang w:val="bg-BG" w:eastAsia="en-GB"/>
        </w:rPr>
      </w:pPr>
      <w:r w:rsidRPr="00CE38C4">
        <w:rPr>
          <w:rFonts w:ascii="Times New Roman" w:eastAsia="Times New Roman" w:hAnsi="Times New Roman" w:cs="Times New Roman"/>
          <w:lang w:val="bg-BG" w:eastAsia="en-GB"/>
        </w:rPr>
        <w:t>Наблюдава се тенденция към промяна на ролята във веригата на доставки на производители или вносители със задължения за регистрация, или преустановяване на дейностите по производство или внос, поради следните затруднения при осъществяване на същинска регистрация: изключително трудно извършване на регистрация на вещества; липса на софтуер на български език; високи разходи; сложно управление с програмата за досиета; доставка на вещества/смеси с извършена регистрация от друг по веригата за доставки.</w:t>
      </w:r>
    </w:p>
    <w:p w14:paraId="27786D39" w14:textId="77777777" w:rsidR="00BD246F" w:rsidRPr="00BD246F" w:rsidRDefault="00BD246F" w:rsidP="00754BCE">
      <w:pPr>
        <w:spacing w:before="120" w:after="120" w:line="264" w:lineRule="auto"/>
        <w:jc w:val="both"/>
        <w:rPr>
          <w:rFonts w:ascii="Times New Roman" w:hAnsi="Times New Roman" w:cs="Times New Roman"/>
          <w:b/>
          <w:bCs/>
          <w:i/>
          <w:iCs/>
          <w:lang w:val="bg-BG"/>
        </w:rPr>
      </w:pPr>
      <w:r w:rsidRPr="00BD246F">
        <w:rPr>
          <w:rFonts w:ascii="Times New Roman" w:hAnsi="Times New Roman" w:cs="Times New Roman"/>
          <w:b/>
          <w:bCs/>
          <w:i/>
          <w:iCs/>
          <w:lang w:val="bg-BG"/>
        </w:rPr>
        <w:t>Предотвратяване на риска от големи аварии</w:t>
      </w:r>
    </w:p>
    <w:p w14:paraId="5202E844" w14:textId="77777777" w:rsidR="00BD246F" w:rsidRPr="00BD246F" w:rsidRDefault="00BD246F" w:rsidP="00754BCE">
      <w:pPr>
        <w:spacing w:before="120" w:after="120" w:line="264" w:lineRule="auto"/>
        <w:jc w:val="both"/>
        <w:rPr>
          <w:rFonts w:ascii="Times New Roman" w:eastAsia="Calibri" w:hAnsi="Times New Roman" w:cs="Times New Roman"/>
          <w:bCs/>
          <w:lang w:val="bg-BG" w:eastAsia="bg-BG"/>
        </w:rPr>
      </w:pPr>
      <w:r w:rsidRPr="00BD246F">
        <w:rPr>
          <w:rFonts w:ascii="Times New Roman" w:eastAsia="Calibri" w:hAnsi="Times New Roman" w:cs="Times New Roman"/>
          <w:bCs/>
          <w:lang w:val="bg-BG" w:eastAsia="bg-BG"/>
        </w:rPr>
        <w:t>Съществен аспект в защитата на екологичната сигурност на страната е предотвратяването, овладяването и преодоляването на последствията от промишлени аварии, включително въздействията от такива аварии. Увеличаването на рисковете и заплахите, големите щети и тежките икономически последици от</w:t>
      </w:r>
      <w:r w:rsidRPr="00BD246F">
        <w:rPr>
          <w:rFonts w:ascii="Times New Roman" w:eastAsia="Calibri" w:hAnsi="Times New Roman" w:cs="Times New Roman"/>
          <w:lang w:val="bg-BG" w:eastAsia="bg-BG"/>
        </w:rPr>
        <w:t xml:space="preserve"> </w:t>
      </w:r>
      <w:r w:rsidRPr="00BD246F">
        <w:rPr>
          <w:rFonts w:ascii="Times New Roman" w:eastAsia="Calibri" w:hAnsi="Times New Roman" w:cs="Times New Roman"/>
          <w:bCs/>
          <w:lang w:val="bg-BG" w:eastAsia="bg-BG"/>
        </w:rPr>
        <w:t>аварии в предприятията, налагат системен подход и политика към подобряване на защитата на населението и критичните инфраструктури на всички нива с акцент върху превенцията.</w:t>
      </w:r>
    </w:p>
    <w:p w14:paraId="54955A42" w14:textId="4ECA61E6" w:rsidR="00BD246F" w:rsidRPr="00BD246F" w:rsidRDefault="00754BCE" w:rsidP="00754BCE">
      <w:pPr>
        <w:spacing w:before="120" w:after="120" w:line="264" w:lineRule="auto"/>
        <w:jc w:val="both"/>
        <w:rPr>
          <w:rFonts w:ascii="Times New Roman" w:eastAsia="Calibri" w:hAnsi="Times New Roman" w:cs="Times New Roman"/>
          <w:bCs/>
          <w:lang w:val="bg-BG" w:eastAsia="bg-BG"/>
        </w:rPr>
      </w:pPr>
      <w:r w:rsidRPr="00BD246F">
        <w:rPr>
          <w:rFonts w:ascii="Times New Roman" w:eastAsia="Calibri" w:hAnsi="Times New Roman" w:cs="Times New Roman"/>
          <w:lang w:val="bg-BG"/>
        </w:rPr>
        <w:t>Предприятията</w:t>
      </w:r>
      <w:r w:rsidR="00BD246F" w:rsidRPr="00BD246F">
        <w:rPr>
          <w:rFonts w:ascii="Times New Roman" w:eastAsia="Calibri" w:hAnsi="Times New Roman" w:cs="Times New Roman"/>
          <w:lang w:val="bg-BG"/>
        </w:rPr>
        <w:t xml:space="preserve"> с нисък и висок потенциал се считат за опасни обекти въз основа на това, че в тях се обработват, съхраняват или използват опасни вещества в такива обеми, че изпускането на веществото(ата) може да доведе до сериозна авария на обекта или в заобикалящата го среда.</w:t>
      </w:r>
      <w:r w:rsidR="00BD246F" w:rsidRPr="00BD246F">
        <w:rPr>
          <w:rFonts w:ascii="Times New Roman" w:eastAsia="Calibri" w:hAnsi="Times New Roman" w:cs="Times New Roman"/>
          <w:bCs/>
          <w:lang w:val="bg-BG" w:eastAsia="bg-BG"/>
        </w:rPr>
        <w:t xml:space="preserve"> </w:t>
      </w:r>
    </w:p>
    <w:p w14:paraId="00B482DA" w14:textId="77777777" w:rsidR="00BD246F" w:rsidRPr="00BD246F" w:rsidRDefault="00BD246F" w:rsidP="00754BCE">
      <w:pPr>
        <w:overflowPunct w:val="0"/>
        <w:autoSpaceDE w:val="0"/>
        <w:autoSpaceDN w:val="0"/>
        <w:adjustRightInd w:val="0"/>
        <w:spacing w:before="120" w:after="120" w:line="264" w:lineRule="auto"/>
        <w:jc w:val="both"/>
        <w:textAlignment w:val="baseline"/>
        <w:rPr>
          <w:rFonts w:ascii="Times New Roman" w:eastAsia="Calibri" w:hAnsi="Times New Roman" w:cs="Times New Roman"/>
          <w:lang w:val="bg-BG"/>
        </w:rPr>
      </w:pPr>
      <w:r w:rsidRPr="00BD246F">
        <w:rPr>
          <w:rFonts w:ascii="Times New Roman" w:eastAsia="Calibri" w:hAnsi="Times New Roman" w:cs="Times New Roman"/>
          <w:lang w:val="bg-BG"/>
        </w:rPr>
        <w:t xml:space="preserve">Установената от </w:t>
      </w:r>
      <w:r w:rsidRPr="00BD246F">
        <w:rPr>
          <w:rFonts w:ascii="Times New Roman" w:eastAsia="Calibri" w:hAnsi="Times New Roman" w:cs="Times New Roman"/>
          <w:bCs/>
          <w:lang w:val="bg-BG" w:eastAsia="bg-BG"/>
        </w:rPr>
        <w:t>Директива 2012/18/ЕС (</w:t>
      </w:r>
      <w:r w:rsidRPr="00BD246F">
        <w:rPr>
          <w:rFonts w:ascii="Times New Roman" w:eastAsia="Calibri" w:hAnsi="Times New Roman" w:cs="Times New Roman"/>
          <w:lang w:val="bg-BG"/>
        </w:rPr>
        <w:t xml:space="preserve">Севезо III) правна рамка създава цикъл на непрекъснато подобряване на превенцията, готовността и реагирането на големи аварии. Цикълът се затваря с осигуряване усвояването на опит от научени уроци или извеждането на поуки от настъпили аварии. </w:t>
      </w:r>
      <w:r w:rsidRPr="00BD246F">
        <w:rPr>
          <w:rFonts w:ascii="Times New Roman" w:eastAsia="Calibri" w:hAnsi="Times New Roman" w:cs="Times New Roman"/>
          <w:bCs/>
          <w:lang w:val="bg-BG" w:eastAsia="bg-BG"/>
        </w:rPr>
        <w:t xml:space="preserve">В националното законодателство се постигна: </w:t>
      </w:r>
    </w:p>
    <w:p w14:paraId="280C95C0" w14:textId="77777777" w:rsidR="00BD246F" w:rsidRPr="00BD246F" w:rsidRDefault="00BD246F" w:rsidP="00754BCE">
      <w:pPr>
        <w:overflowPunct w:val="0"/>
        <w:autoSpaceDE w:val="0"/>
        <w:autoSpaceDN w:val="0"/>
        <w:adjustRightInd w:val="0"/>
        <w:spacing w:before="120" w:after="120" w:line="264" w:lineRule="auto"/>
        <w:ind w:firstLine="709"/>
        <w:jc w:val="both"/>
        <w:textAlignment w:val="baseline"/>
        <w:rPr>
          <w:rFonts w:ascii="Times New Roman" w:eastAsia="Calibri" w:hAnsi="Times New Roman" w:cs="Times New Roman"/>
          <w:bCs/>
          <w:lang w:val="bg-BG" w:eastAsia="bg-BG"/>
        </w:rPr>
      </w:pPr>
      <w:r w:rsidRPr="00BD246F">
        <w:rPr>
          <w:rFonts w:ascii="Times New Roman" w:eastAsia="Calibri" w:hAnsi="Times New Roman" w:cs="Times New Roman"/>
          <w:bCs/>
          <w:lang w:val="bg-BG" w:eastAsia="bg-BG"/>
        </w:rPr>
        <w:t xml:space="preserve">- </w:t>
      </w:r>
      <w:r w:rsidRPr="00BD246F">
        <w:rPr>
          <w:rFonts w:ascii="Times New Roman" w:eastAsia="Calibri" w:hAnsi="Times New Roman" w:cs="Times New Roman"/>
          <w:bCs/>
          <w:bdr w:val="none" w:sz="0" w:space="0" w:color="auto" w:frame="1"/>
          <w:lang w:val="bg-BG" w:eastAsia="bg-BG"/>
        </w:rPr>
        <w:t>по-систематичен подход за планиране и провеждане на контролната дейност;</w:t>
      </w:r>
    </w:p>
    <w:p w14:paraId="05D9B534" w14:textId="77777777" w:rsidR="00BD246F" w:rsidRPr="00BD246F" w:rsidRDefault="00BD246F" w:rsidP="00754BCE">
      <w:pPr>
        <w:overflowPunct w:val="0"/>
        <w:autoSpaceDE w:val="0"/>
        <w:autoSpaceDN w:val="0"/>
        <w:adjustRightInd w:val="0"/>
        <w:spacing w:before="120" w:after="120" w:line="264" w:lineRule="auto"/>
        <w:ind w:firstLine="709"/>
        <w:jc w:val="both"/>
        <w:textAlignment w:val="baseline"/>
        <w:rPr>
          <w:rFonts w:ascii="Times New Roman" w:eastAsia="Calibri" w:hAnsi="Times New Roman" w:cs="Times New Roman"/>
          <w:bCs/>
          <w:bdr w:val="none" w:sz="0" w:space="0" w:color="auto" w:frame="1"/>
          <w:lang w:val="bg-BG" w:eastAsia="bg-BG"/>
        </w:rPr>
      </w:pPr>
      <w:r w:rsidRPr="00BD246F">
        <w:rPr>
          <w:rFonts w:ascii="Times New Roman" w:eastAsia="Calibri" w:hAnsi="Times New Roman" w:cs="Times New Roman"/>
          <w:bCs/>
          <w:bdr w:val="none" w:sz="0" w:space="0" w:color="auto" w:frame="1"/>
          <w:lang w:val="bg-BG" w:eastAsia="bg-BG"/>
        </w:rPr>
        <w:t>- осигуряване на необходимата информация за наличните опасни вещества, идентифицираните рискове и разработените от операторите мерки за предотвратяване на големи аварии, и ограничаване на последствията от тях;</w:t>
      </w:r>
    </w:p>
    <w:p w14:paraId="0C0951B1" w14:textId="77777777" w:rsidR="00BD246F" w:rsidRPr="00BD246F" w:rsidRDefault="00BD246F" w:rsidP="00754BCE">
      <w:pPr>
        <w:overflowPunct w:val="0"/>
        <w:autoSpaceDE w:val="0"/>
        <w:autoSpaceDN w:val="0"/>
        <w:adjustRightInd w:val="0"/>
        <w:spacing w:before="120" w:after="120" w:line="264" w:lineRule="auto"/>
        <w:ind w:firstLine="709"/>
        <w:jc w:val="both"/>
        <w:textAlignment w:val="baseline"/>
        <w:rPr>
          <w:rFonts w:ascii="Times New Roman" w:eastAsia="Calibri" w:hAnsi="Times New Roman" w:cs="Times New Roman"/>
          <w:bCs/>
          <w:bdr w:val="none" w:sz="0" w:space="0" w:color="auto" w:frame="1"/>
          <w:lang w:val="bg-BG" w:eastAsia="bg-BG"/>
        </w:rPr>
      </w:pPr>
      <w:r w:rsidRPr="00BD246F">
        <w:rPr>
          <w:rFonts w:ascii="Times New Roman" w:eastAsia="Calibri" w:hAnsi="Times New Roman" w:cs="Times New Roman"/>
          <w:bCs/>
          <w:bdr w:val="none" w:sz="0" w:space="0" w:color="auto" w:frame="1"/>
          <w:lang w:val="bg-BG" w:eastAsia="bg-BG"/>
        </w:rPr>
        <w:t xml:space="preserve">- подобряване на устройственото планиране на територията чрез контрол на разполагането на нови и съществени изменения на съществуващи дейности с опасни вещества на безопасно разстояние от населените места, както и спазване на безопасни отстояния около мястото, на което се извършват дейностите с опасни вещества. </w:t>
      </w:r>
    </w:p>
    <w:p w14:paraId="5C8F9B33" w14:textId="77777777" w:rsidR="00BD246F" w:rsidRPr="002D2BB7" w:rsidRDefault="00BD246F" w:rsidP="002D2BB7">
      <w:pPr>
        <w:overflowPunct w:val="0"/>
        <w:autoSpaceDE w:val="0"/>
        <w:autoSpaceDN w:val="0"/>
        <w:adjustRightInd w:val="0"/>
        <w:spacing w:before="120" w:after="120" w:line="264" w:lineRule="auto"/>
        <w:ind w:firstLine="709"/>
        <w:jc w:val="both"/>
        <w:textAlignment w:val="baseline"/>
        <w:rPr>
          <w:rFonts w:ascii="Times New Roman" w:eastAsia="Calibri" w:hAnsi="Times New Roman" w:cs="Times New Roman"/>
          <w:bCs/>
          <w:bdr w:val="none" w:sz="0" w:space="0" w:color="auto" w:frame="1"/>
          <w:lang w:val="bg-BG" w:eastAsia="bg-BG"/>
        </w:rPr>
      </w:pPr>
      <w:r w:rsidRPr="002D2BB7">
        <w:rPr>
          <w:rFonts w:ascii="Times New Roman" w:eastAsia="Calibri" w:hAnsi="Times New Roman" w:cs="Times New Roman"/>
          <w:bCs/>
          <w:bdr w:val="none" w:sz="0" w:space="0" w:color="auto" w:frame="1"/>
          <w:lang w:val="bg-BG" w:eastAsia="bg-BG"/>
        </w:rPr>
        <w:t xml:space="preserve">- подобрение на достъпът на гражданите до консултации по проекти, свързани с изграждане на нови предприятия с потенциал за възникване на голяма авария, чрез възможността за участие в процеса на вземане на решения от страна на обществеността, както и чрез осигуряване на достъп до документацията на предприятията, се повиши прозрачността при вземането на решения, укрепи се общественото доверие в централната и местната администрация, повишава се взаимното доверие между бизнеса и обществеността. </w:t>
      </w:r>
    </w:p>
    <w:p w14:paraId="0C41D5F3" w14:textId="45599651" w:rsidR="00BD246F" w:rsidRPr="002D2BB7" w:rsidRDefault="00BD246F" w:rsidP="002D2BB7">
      <w:pPr>
        <w:overflowPunct w:val="0"/>
        <w:autoSpaceDE w:val="0"/>
        <w:autoSpaceDN w:val="0"/>
        <w:adjustRightInd w:val="0"/>
        <w:spacing w:before="120" w:after="120" w:line="264" w:lineRule="auto"/>
        <w:jc w:val="both"/>
        <w:textAlignment w:val="baseline"/>
        <w:rPr>
          <w:rFonts w:ascii="Times New Roman" w:eastAsia="Calibri" w:hAnsi="Times New Roman" w:cs="Times New Roman"/>
          <w:lang w:val="bg-BG"/>
        </w:rPr>
      </w:pPr>
      <w:r w:rsidRPr="002D2BB7">
        <w:rPr>
          <w:rFonts w:ascii="Times New Roman" w:eastAsia="Calibri" w:hAnsi="Times New Roman" w:cs="Times New Roman"/>
          <w:bCs/>
          <w:bdr w:val="none" w:sz="0" w:space="0" w:color="auto" w:frame="1"/>
          <w:lang w:val="bg-BG" w:eastAsia="bg-BG"/>
        </w:rPr>
        <w:t>Актуална и</w:t>
      </w:r>
      <w:r w:rsidRPr="002D2BB7">
        <w:rPr>
          <w:rFonts w:ascii="Times New Roman" w:eastAsia="Calibri" w:hAnsi="Times New Roman" w:cs="Times New Roman"/>
          <w:bCs/>
          <w:lang w:val="bg-BG"/>
        </w:rPr>
        <w:t xml:space="preserve">нформация за предприятията с нисък и висок рисков потенциал е </w:t>
      </w:r>
      <w:r w:rsidRPr="002D2BB7">
        <w:rPr>
          <w:rFonts w:ascii="Times New Roman" w:eastAsia="Calibri" w:hAnsi="Times New Roman" w:cs="Times New Roman"/>
          <w:lang w:val="bg-BG"/>
        </w:rPr>
        <w:t xml:space="preserve">обществено достъпна и редовно се публикува, както </w:t>
      </w:r>
      <w:r w:rsidRPr="002D2BB7">
        <w:rPr>
          <w:rFonts w:ascii="Times New Roman" w:eastAsia="Calibri" w:hAnsi="Times New Roman" w:cs="Times New Roman"/>
          <w:bCs/>
          <w:lang w:val="bg-BG"/>
        </w:rPr>
        <w:t xml:space="preserve">в базата данни на </w:t>
      </w:r>
      <w:r w:rsidR="00754BCE" w:rsidRPr="002D2BB7">
        <w:rPr>
          <w:rFonts w:ascii="Times New Roman" w:eastAsia="Calibri" w:hAnsi="Times New Roman" w:cs="Times New Roman"/>
          <w:bCs/>
          <w:lang w:val="bg-BG"/>
        </w:rPr>
        <w:t>Европейската</w:t>
      </w:r>
      <w:r w:rsidRPr="002D2BB7">
        <w:rPr>
          <w:rFonts w:ascii="Times New Roman" w:eastAsia="Calibri" w:hAnsi="Times New Roman" w:cs="Times New Roman"/>
          <w:bCs/>
          <w:lang w:val="bg-BG"/>
        </w:rPr>
        <w:t xml:space="preserve"> комисия e-SPIRS, така </w:t>
      </w:r>
      <w:r w:rsidRPr="002D2BB7">
        <w:rPr>
          <w:rFonts w:ascii="Times New Roman" w:eastAsia="Calibri" w:hAnsi="Times New Roman" w:cs="Times New Roman"/>
          <w:lang w:val="bg-BG"/>
        </w:rPr>
        <w:t>и в публичния електронен регистър на предприятията и съоръженията с нисък и висок рисков потенциал наличен на страницата на МОСВ.</w:t>
      </w:r>
    </w:p>
    <w:p w14:paraId="7C73D4F2" w14:textId="69325F8E" w:rsidR="002D2BB7" w:rsidRPr="00CE38C4" w:rsidRDefault="002D2BB7" w:rsidP="00CE38C4">
      <w:pPr>
        <w:spacing w:before="120" w:after="120" w:line="264" w:lineRule="auto"/>
        <w:jc w:val="both"/>
        <w:rPr>
          <w:rFonts w:ascii="Times New Roman" w:eastAsia="Times New Roman" w:hAnsi="Times New Roman" w:cs="Times New Roman"/>
          <w:lang w:val="bg-BG"/>
        </w:rPr>
      </w:pPr>
      <w:r w:rsidRPr="00CE38C4">
        <w:rPr>
          <w:rFonts w:ascii="Times New Roman" w:eastAsia="Times New Roman" w:hAnsi="Times New Roman" w:cs="Times New Roman"/>
          <w:lang w:val="bg-BG"/>
        </w:rPr>
        <w:t>Предотвратяването на риска на големи аварии e превантивен инструмент за намаляването на вероятността от възникването и последствията от големи аварии при работа с определени опасни вещества с цел защита живота и здравето на хората и околната среда.</w:t>
      </w:r>
    </w:p>
    <w:p w14:paraId="4C88AF5D" w14:textId="716F452E" w:rsidR="002D2BB7" w:rsidRPr="00CE38C4" w:rsidRDefault="002D2BB7" w:rsidP="00CE38C4">
      <w:pPr>
        <w:spacing w:before="120" w:after="120" w:line="264" w:lineRule="auto"/>
        <w:jc w:val="both"/>
        <w:rPr>
          <w:rFonts w:ascii="Times New Roman" w:eastAsia="Times New Roman" w:hAnsi="Times New Roman" w:cs="Times New Roman"/>
          <w:b/>
          <w:bCs/>
          <w:lang w:val="bg-BG"/>
        </w:rPr>
      </w:pPr>
      <w:r w:rsidRPr="00CE38C4">
        <w:rPr>
          <w:rFonts w:ascii="Times New Roman" w:eastAsia="Times New Roman" w:hAnsi="Times New Roman" w:cs="Times New Roman"/>
          <w:lang w:val="bg-BG"/>
        </w:rPr>
        <w:t xml:space="preserve">Индикаторът, който се използва, за проследяване е </w:t>
      </w:r>
      <w:r w:rsidRPr="00CE38C4">
        <w:rPr>
          <w:rFonts w:ascii="Times New Roman" w:eastAsia="Times New Roman" w:hAnsi="Times New Roman" w:cs="Times New Roman"/>
          <w:b/>
          <w:bCs/>
          <w:lang w:val="bg-BG"/>
        </w:rPr>
        <w:t>степен на изпълнение на мерките за предотвратяване на риска от големи аварии заложени в Докладите за безопасност (ДБ) или разрешителните по чл. 104, ал. 1 от ЗООС за обектите с висок рисков потенциал и в Докладите за политика по предотвратяване на големи аварии (ДППГА) за об</w:t>
      </w:r>
      <w:r w:rsidR="00A21BD3" w:rsidRPr="00CE38C4">
        <w:rPr>
          <w:rFonts w:ascii="Times New Roman" w:eastAsia="Times New Roman" w:hAnsi="Times New Roman" w:cs="Times New Roman"/>
          <w:b/>
          <w:bCs/>
          <w:lang w:val="bg-BG"/>
        </w:rPr>
        <w:t>ектите с нисък рисков потенциал.</w:t>
      </w:r>
    </w:p>
    <w:p w14:paraId="40FBB489" w14:textId="7C7B8047" w:rsidR="002D2BB7" w:rsidRPr="00CE38C4" w:rsidRDefault="002D2BB7" w:rsidP="00CE38C4">
      <w:pPr>
        <w:spacing w:before="120" w:after="120" w:line="264" w:lineRule="auto"/>
        <w:jc w:val="both"/>
        <w:rPr>
          <w:rFonts w:ascii="Times New Roman" w:eastAsia="Times New Roman" w:hAnsi="Times New Roman" w:cs="Times New Roman"/>
          <w:lang w:val="bg-BG"/>
        </w:rPr>
      </w:pPr>
      <w:r w:rsidRPr="00CE38C4">
        <w:rPr>
          <w:rFonts w:ascii="Times New Roman" w:eastAsia="Times New Roman" w:hAnsi="Times New Roman" w:cs="Times New Roman"/>
          <w:b/>
          <w:bCs/>
          <w:lang w:val="bg-BG"/>
        </w:rPr>
        <w:t>Индикаторът се дефинира като б</w:t>
      </w:r>
      <w:r w:rsidRPr="00CE38C4">
        <w:rPr>
          <w:rFonts w:ascii="Times New Roman" w:eastAsia="Times New Roman" w:hAnsi="Times New Roman" w:cs="Times New Roman"/>
          <w:lang w:val="bg-BG"/>
        </w:rPr>
        <w:t>рой на проверките, при които са констатирани несъответствия спрямо броя на извършените проверки на Докладите за безопасност (ДБ) и условията в разрешителните по чл. 104, ал. 1 от ЗООС</w:t>
      </w:r>
      <w:r w:rsidRPr="00CE38C4">
        <w:rPr>
          <w:rFonts w:ascii="Times New Roman" w:eastAsia="Times New Roman" w:hAnsi="Times New Roman" w:cs="Times New Roman"/>
          <w:b/>
          <w:bCs/>
          <w:lang w:val="bg-BG"/>
        </w:rPr>
        <w:t xml:space="preserve"> </w:t>
      </w:r>
      <w:r w:rsidRPr="00CE38C4">
        <w:rPr>
          <w:rFonts w:ascii="Times New Roman" w:eastAsia="Times New Roman" w:hAnsi="Times New Roman" w:cs="Times New Roman"/>
          <w:lang w:val="bg-BG"/>
        </w:rPr>
        <w:t>за обектите с висок рисков потенциал и на Докладите за политика по предотвратяване на големи аварии (ДППГА) за обектите с нисък рисков потенциал.</w:t>
      </w:r>
    </w:p>
    <w:p w14:paraId="178D64F2" w14:textId="77777777" w:rsidR="00263871" w:rsidRPr="00CE38C4" w:rsidRDefault="002D2BB7" w:rsidP="00CE38C4">
      <w:pPr>
        <w:spacing w:before="120" w:after="120" w:line="264" w:lineRule="auto"/>
        <w:jc w:val="both"/>
        <w:rPr>
          <w:rFonts w:ascii="Times New Roman" w:eastAsia="Times New Roman" w:hAnsi="Times New Roman" w:cs="Times New Roman"/>
          <w:lang w:val="bg-BG"/>
        </w:rPr>
      </w:pPr>
      <w:r w:rsidRPr="00CE38C4">
        <w:rPr>
          <w:rFonts w:ascii="Times New Roman" w:eastAsia="Times New Roman" w:hAnsi="Times New Roman" w:cs="Times New Roman"/>
          <w:lang w:val="bg-BG"/>
        </w:rPr>
        <w:t>Честотата на проверките се определя въз основа на системна оценка на опасностите в съответните предприятия/съоръжения и е най-малко веднъж годишно за предприятия и съоръжения с висок рисков потенциал и най-малко веднъж на три години за предприятия и съоръжения с нисък рисков потенциал.</w:t>
      </w:r>
    </w:p>
    <w:p w14:paraId="7052BF50" w14:textId="4FE5FB03" w:rsidR="00263871" w:rsidRPr="00CE38C4" w:rsidRDefault="00EC6A3B" w:rsidP="00CE38C4">
      <w:pPr>
        <w:spacing w:before="120" w:after="120" w:line="264" w:lineRule="auto"/>
        <w:jc w:val="both"/>
        <w:rPr>
          <w:rFonts w:ascii="Times New Roman" w:eastAsia="Times New Roman" w:hAnsi="Times New Roman" w:cs="Times New Roman"/>
          <w:lang w:val="bg-BG"/>
        </w:rPr>
      </w:pPr>
      <w:r w:rsidRPr="00CE38C4">
        <w:rPr>
          <w:rFonts w:ascii="Times New Roman" w:eastAsia="Times New Roman" w:hAnsi="Times New Roman" w:cs="Times New Roman"/>
          <w:lang w:val="bg-BG"/>
        </w:rPr>
        <w:t>Индикаторът измерва степента на несъответствие на тези предприятия с изискванията на глава седма, раздел I на ЗООС и показва нивото на защита на околната среда и човешкото здраве. Целевата стойност на индикатора е 0% несъответствия</w:t>
      </w:r>
      <w:r w:rsidR="00263871" w:rsidRPr="00CE38C4">
        <w:rPr>
          <w:rFonts w:ascii="Times New Roman" w:eastAsia="Times New Roman" w:hAnsi="Times New Roman" w:cs="Times New Roman"/>
          <w:lang w:val="bg-BG"/>
        </w:rPr>
        <w:t>.</w:t>
      </w:r>
    </w:p>
    <w:p w14:paraId="44DB7470" w14:textId="53383347" w:rsidR="00A21BD3" w:rsidRPr="00CE38C4" w:rsidRDefault="00A21BD3" w:rsidP="00CE38C4">
      <w:pPr>
        <w:spacing w:before="120" w:after="120" w:line="264" w:lineRule="auto"/>
        <w:jc w:val="both"/>
        <w:rPr>
          <w:rFonts w:ascii="Times New Roman" w:eastAsia="Times New Roman" w:hAnsi="Times New Roman" w:cs="Times New Roman"/>
          <w:lang w:val="bg-BG"/>
        </w:rPr>
      </w:pPr>
      <w:r w:rsidRPr="00CE38C4">
        <w:rPr>
          <w:rFonts w:ascii="Times New Roman" w:eastAsia="Times New Roman" w:hAnsi="Times New Roman" w:cs="Times New Roman"/>
          <w:lang w:val="bg-BG"/>
        </w:rPr>
        <w:t xml:space="preserve">За 2016 г. </w:t>
      </w:r>
      <w:r w:rsidRPr="00CE38C4">
        <w:rPr>
          <w:rFonts w:ascii="Times New Roman" w:hAnsi="Times New Roman" w:cs="Times New Roman"/>
          <w:lang w:val="bg-BG"/>
        </w:rPr>
        <w:t>резултатът е 5%. За постигане на поставените цели са предприети съответните коригиращи действия от страна на контролните органи за привеждане на операторите в съответствие.</w:t>
      </w:r>
    </w:p>
    <w:p w14:paraId="0826BB2E" w14:textId="76EF0417" w:rsidR="00A21BD3" w:rsidRPr="00CE38C4" w:rsidRDefault="00A21BD3" w:rsidP="00CE38C4">
      <w:pPr>
        <w:spacing w:before="120" w:after="120" w:line="264" w:lineRule="auto"/>
        <w:jc w:val="both"/>
        <w:rPr>
          <w:rFonts w:ascii="Times New Roman" w:hAnsi="Times New Roman" w:cs="Times New Roman"/>
          <w:lang w:val="bg-BG"/>
        </w:rPr>
      </w:pPr>
      <w:r w:rsidRPr="00CE38C4">
        <w:rPr>
          <w:rFonts w:ascii="Times New Roman" w:eastAsia="Times New Roman" w:hAnsi="Times New Roman" w:cs="Times New Roman"/>
          <w:lang w:val="bg-BG"/>
        </w:rPr>
        <w:t xml:space="preserve">Ако проследим стойностите на индикатора през 2016 г. в </w:t>
      </w:r>
      <w:r w:rsidRPr="00CE38C4">
        <w:rPr>
          <w:rStyle w:val="Strong"/>
          <w:rFonts w:ascii="Times New Roman" w:hAnsi="Times New Roman" w:cs="Times New Roman"/>
          <w:b w:val="0"/>
          <w:lang w:val="bg-BG"/>
        </w:rPr>
        <w:t xml:space="preserve">95% от проверените 87 предприятия през 2016 г. (102 проверки за текущ и последващ контрол), които работят с издадено разрешително по чл.104, ал.1 от ЗООС се спазват условията в издадените разрешителни и са въведени и се прилагат адекватни управленски, административни и технически мерки за контрол на рисковете от големи аварии, а в 5% от случаите са установени нарушения, за които са съставени 5 акта за установяване на административно нарушение (АУАН) и са издадени 4 наказателни постановления. В сравнение с предходната година (при 4% за 2015 г.) е налице слабо увеличение на броя на установените несъответствия. През 2016 г. не са установени предприятия с висок рисков потенциал, които работят без разрешително по чл.104, ал.1 от ЗООС. </w:t>
      </w:r>
    </w:p>
    <w:p w14:paraId="50E7987F" w14:textId="6B020F5C" w:rsidR="00A21BD3" w:rsidRPr="00CE38C4" w:rsidRDefault="00A21BD3" w:rsidP="00CE38C4">
      <w:pPr>
        <w:spacing w:before="120" w:after="120" w:line="264" w:lineRule="auto"/>
        <w:jc w:val="both"/>
        <w:rPr>
          <w:rFonts w:ascii="Times New Roman" w:hAnsi="Times New Roman" w:cs="Times New Roman"/>
          <w:lang w:val="bg-BG"/>
        </w:rPr>
      </w:pPr>
      <w:r w:rsidRPr="00CE38C4">
        <w:rPr>
          <w:rStyle w:val="Strong"/>
          <w:rFonts w:ascii="Times New Roman" w:hAnsi="Times New Roman" w:cs="Times New Roman"/>
          <w:b w:val="0"/>
          <w:lang w:val="bg-BG"/>
        </w:rPr>
        <w:t>През 2016 г. са регистрирани 2 големи аварии</w:t>
      </w:r>
      <w:r w:rsidRPr="00CE38C4">
        <w:rPr>
          <w:rStyle w:val="FootnoteReference"/>
          <w:rFonts w:ascii="Times New Roman" w:hAnsi="Times New Roman" w:cs="Times New Roman"/>
          <w:bCs/>
          <w:lang w:val="bg-BG"/>
        </w:rPr>
        <w:footnoteReference w:id="19"/>
      </w:r>
      <w:r w:rsidRPr="00CE38C4">
        <w:rPr>
          <w:rStyle w:val="Strong"/>
          <w:rFonts w:ascii="Times New Roman" w:hAnsi="Times New Roman" w:cs="Times New Roman"/>
          <w:b w:val="0"/>
          <w:lang w:val="bg-BG"/>
        </w:rPr>
        <w:t xml:space="preserve"> с опасни вещества на територията на страната от общо 199 бр. (107 предприятия с нисък рисков потенциал и 92 предприятия с висок рисков потенциал) предприятия, попадащи в обхвата на Глава седма, Раздел I от ЗООС.</w:t>
      </w:r>
    </w:p>
    <w:p w14:paraId="6D5786BC" w14:textId="0FE81CDC" w:rsidR="00A21BD3" w:rsidRPr="00CE38C4" w:rsidRDefault="00A21BD3" w:rsidP="00CE38C4">
      <w:pPr>
        <w:pStyle w:val="soerkeyblue"/>
        <w:spacing w:before="120" w:beforeAutospacing="0" w:after="120" w:afterAutospacing="0" w:line="264" w:lineRule="auto"/>
        <w:rPr>
          <w:bCs/>
          <w:sz w:val="22"/>
          <w:szCs w:val="22"/>
          <w:lang w:val="bg-BG"/>
        </w:rPr>
      </w:pPr>
      <w:r w:rsidRPr="00CE38C4">
        <w:rPr>
          <w:bCs/>
          <w:sz w:val="22"/>
          <w:szCs w:val="22"/>
          <w:lang w:val="bg-BG"/>
        </w:rPr>
        <w:t xml:space="preserve">През 2017 г. резултатът е 3%. </w:t>
      </w:r>
    </w:p>
    <w:p w14:paraId="56D82113" w14:textId="2128A0EC" w:rsidR="00A21BD3" w:rsidRPr="00CE38C4" w:rsidRDefault="00A21BD3" w:rsidP="00CE38C4">
      <w:pPr>
        <w:pStyle w:val="visualclear"/>
        <w:spacing w:before="120" w:beforeAutospacing="0" w:after="120" w:afterAutospacing="0" w:line="264" w:lineRule="auto"/>
        <w:jc w:val="both"/>
        <w:rPr>
          <w:sz w:val="22"/>
          <w:szCs w:val="22"/>
          <w:lang w:val="bg-BG"/>
        </w:rPr>
      </w:pPr>
      <w:r w:rsidRPr="00CE38C4">
        <w:rPr>
          <w:rStyle w:val="Strong"/>
          <w:rFonts w:eastAsiaTheme="majorEastAsia"/>
          <w:b w:val="0"/>
          <w:sz w:val="22"/>
          <w:szCs w:val="22"/>
          <w:lang w:val="bg-BG"/>
        </w:rPr>
        <w:t xml:space="preserve">В 97% от проверените 83 предприятия с висок рисков потенциал (ПСВРП)  и 67 с нисък рисков потенциал (ПСНРП)  през 2017 г. (162 проверки за текущ и последващ контрол), се спазват условията в заложени в Докладите за безопасност (ДБ) или разрешителните по чл. 104, ал. 1 от ЗООС за обектите с висок рисков потенциал и в Докладите за политика по предотвратяване на големи аварии (ДППГА) за обектите с нисък рисков потенциал. Въведени са и се прилагат адекватни управленски, административни и технически мерки за контрол на рисковете от големи аварии, като в 3% от случаите са установени нарушения, за които са съставени 3 акта за установяване на административно нарушение (АУАН) и са издадени 2 наказателни постановления. В сравнение с предходната година (при 5% за 2016 г.) е налице слабо намаление на броя на установените несъответствия. </w:t>
      </w:r>
    </w:p>
    <w:p w14:paraId="3C79B2F7" w14:textId="24DC1D7F" w:rsidR="00A21BD3" w:rsidRPr="00CE38C4" w:rsidRDefault="00A21BD3" w:rsidP="00CE38C4">
      <w:pPr>
        <w:pStyle w:val="visualclear"/>
        <w:spacing w:before="120" w:beforeAutospacing="0" w:after="120" w:afterAutospacing="0" w:line="264" w:lineRule="auto"/>
        <w:jc w:val="both"/>
        <w:rPr>
          <w:rStyle w:val="Strong"/>
          <w:rFonts w:eastAsiaTheme="majorEastAsia"/>
          <w:b w:val="0"/>
          <w:sz w:val="22"/>
          <w:szCs w:val="22"/>
          <w:lang w:val="bg-BG"/>
        </w:rPr>
      </w:pPr>
      <w:r w:rsidRPr="00CE38C4">
        <w:rPr>
          <w:rStyle w:val="Strong"/>
          <w:rFonts w:eastAsiaTheme="majorEastAsia"/>
          <w:b w:val="0"/>
          <w:sz w:val="22"/>
          <w:szCs w:val="22"/>
          <w:lang w:val="bg-BG"/>
        </w:rPr>
        <w:t xml:space="preserve">През 2017 г. няма  регистрирани  големи аварии с опасни вещества на територията на страната от общо 200 бр. (117 предприятия с нисък рисков потенциал и 83 предприятия с висок рисков потенциал) предприятия, попадащи в обхвата на Глава седма, Раздел I от ЗООС. </w:t>
      </w:r>
    </w:p>
    <w:p w14:paraId="2B6461FC" w14:textId="6A01DCAF" w:rsidR="00A21BD3" w:rsidRPr="00CE38C4" w:rsidRDefault="00A21BD3" w:rsidP="00CE38C4">
      <w:pPr>
        <w:pStyle w:val="visualclear"/>
        <w:spacing w:before="120" w:beforeAutospacing="0" w:after="120" w:afterAutospacing="0" w:line="264" w:lineRule="auto"/>
        <w:jc w:val="both"/>
        <w:rPr>
          <w:rStyle w:val="Strong"/>
          <w:rFonts w:eastAsiaTheme="majorEastAsia"/>
          <w:b w:val="0"/>
          <w:sz w:val="22"/>
          <w:szCs w:val="22"/>
          <w:lang w:val="bg-BG"/>
        </w:rPr>
      </w:pPr>
      <w:r w:rsidRPr="00CE38C4">
        <w:rPr>
          <w:rStyle w:val="Strong"/>
          <w:rFonts w:eastAsiaTheme="majorEastAsia"/>
          <w:b w:val="0"/>
          <w:sz w:val="22"/>
          <w:szCs w:val="22"/>
          <w:lang w:val="bg-BG"/>
        </w:rPr>
        <w:t xml:space="preserve">През 2018 г., резултатът е 4%. </w:t>
      </w:r>
    </w:p>
    <w:p w14:paraId="4CE6FFB0" w14:textId="77777777" w:rsidR="00A21BD3" w:rsidRPr="00CE38C4" w:rsidRDefault="00A21BD3" w:rsidP="00CE38C4">
      <w:pPr>
        <w:pStyle w:val="visualclear"/>
        <w:spacing w:before="120" w:beforeAutospacing="0" w:after="120" w:afterAutospacing="0" w:line="264" w:lineRule="auto"/>
        <w:jc w:val="both"/>
        <w:rPr>
          <w:sz w:val="22"/>
          <w:szCs w:val="22"/>
          <w:lang w:val="bg-BG"/>
        </w:rPr>
      </w:pPr>
      <w:r w:rsidRPr="00CE38C4">
        <w:rPr>
          <w:bCs/>
          <w:sz w:val="22"/>
          <w:szCs w:val="22"/>
          <w:lang w:val="bg-BG"/>
        </w:rPr>
        <w:t>В 96% от проверените 81 предприятия с висок рисков потенциал (ПСВРП) и 63 с нисък рисков потенциал (ПСНРП)  през 2018 г. (144 проверки за текущ и последващ контрол), се спазват условията в заложени в Докладите за безопасност (ДБ) или разрешителните по чл. 104, ал. 1 от ЗООС за обектите с висок рисков потенциал и в Докладите за политика по предотвратяване на големи аварии (ДППГА) за обектите с нисък рисков потенциал. Въведени са и се прилагат адекватни управленски, административни и технически мерки за контрол на рисковете от големи аварии, като в 3% от случаите са установени нарушения, за които са съставени 2 акта за установяване на административно нарушение (АУАН) и са издадени 4 наказателни постановления. В сравнение с предходната година (при 3% за 2017 г.) е налице слабо увеличение на броя на установените несъответствия. </w:t>
      </w:r>
    </w:p>
    <w:p w14:paraId="54EBEBD6" w14:textId="515AD166" w:rsidR="00A21BD3" w:rsidRPr="00CE38C4" w:rsidRDefault="00A21BD3" w:rsidP="00CE38C4">
      <w:pPr>
        <w:pStyle w:val="visualclear"/>
        <w:spacing w:before="120" w:beforeAutospacing="0" w:after="120" w:afterAutospacing="0" w:line="264" w:lineRule="auto"/>
        <w:jc w:val="both"/>
        <w:rPr>
          <w:sz w:val="22"/>
          <w:szCs w:val="22"/>
          <w:lang w:val="bg-BG"/>
        </w:rPr>
      </w:pPr>
      <w:r w:rsidRPr="00CE38C4">
        <w:rPr>
          <w:rStyle w:val="Strong"/>
          <w:b w:val="0"/>
          <w:sz w:val="22"/>
          <w:szCs w:val="22"/>
          <w:lang w:val="bg-BG"/>
        </w:rPr>
        <w:t>През 2018 г. няма регистрирани големи аварии с опасни вещества на територията на страната от общо 206 бр. (121 предприятия с нисък рисков потенциал и 85 предприятия с висок рисков потенциал) предприятия, попадащи в обхвата на Глава седма, Раздел I от ЗООС.</w:t>
      </w:r>
    </w:p>
    <w:p w14:paraId="1ED57299" w14:textId="0E9A60D6" w:rsidR="00EC6A3B" w:rsidRPr="00CE38C4" w:rsidRDefault="00903EEE" w:rsidP="00CE38C4">
      <w:pPr>
        <w:spacing w:before="120" w:after="120" w:line="264" w:lineRule="auto"/>
        <w:jc w:val="both"/>
        <w:rPr>
          <w:rFonts w:ascii="Times New Roman" w:eastAsia="Times New Roman" w:hAnsi="Times New Roman" w:cs="Times New Roman"/>
          <w:lang w:val="bg-BG"/>
        </w:rPr>
      </w:pPr>
      <w:r w:rsidRPr="00CE38C4">
        <w:rPr>
          <w:rFonts w:ascii="Times New Roman" w:eastAsia="Times New Roman" w:hAnsi="Times New Roman" w:cs="Times New Roman"/>
          <w:lang w:val="bg-BG"/>
        </w:rPr>
        <w:t>Р</w:t>
      </w:r>
      <w:r w:rsidR="00EC6A3B" w:rsidRPr="00CE38C4">
        <w:rPr>
          <w:rFonts w:ascii="Times New Roman" w:eastAsia="Times New Roman" w:hAnsi="Times New Roman" w:cs="Times New Roman"/>
          <w:lang w:val="bg-BG"/>
        </w:rPr>
        <w:t>езултатът за 2019 г. е 2 %. За постигане на поставените цели са предприети съответните коригиращи действия от страна на контролните органи за привеждане на операторите в съответствие.</w:t>
      </w:r>
    </w:p>
    <w:p w14:paraId="18F1BBAE" w14:textId="29446E1E" w:rsidR="002D2BB7" w:rsidRPr="00CE38C4" w:rsidRDefault="002D2BB7" w:rsidP="00CE38C4">
      <w:pPr>
        <w:spacing w:before="120" w:after="120" w:line="264" w:lineRule="auto"/>
        <w:jc w:val="both"/>
        <w:rPr>
          <w:rFonts w:ascii="Times New Roman" w:eastAsia="Times New Roman" w:hAnsi="Times New Roman" w:cs="Times New Roman"/>
          <w:lang w:val="bg-BG"/>
        </w:rPr>
      </w:pPr>
      <w:r w:rsidRPr="00CE38C4">
        <w:rPr>
          <w:rFonts w:ascii="Times New Roman" w:eastAsia="Times New Roman" w:hAnsi="Times New Roman" w:cs="Times New Roman"/>
          <w:bCs/>
          <w:lang w:val="bg-BG"/>
        </w:rPr>
        <w:t>През 2019 г. няма регистрирани големи аварии с опасни вещества на територията на страната от общо  212 бр. (128 предприятия с нисък рисков потенциал и 84 предприятия с висок рисков потенциал) предприятия, попадащи в обхвата на Глава седма, Раздел I от ЗООС.</w:t>
      </w:r>
    </w:p>
    <w:p w14:paraId="0CB9BDDB" w14:textId="3D4C4786" w:rsidR="002D2BB7" w:rsidRPr="00CE38C4" w:rsidRDefault="002D2BB7" w:rsidP="00CE38C4">
      <w:pPr>
        <w:spacing w:before="120" w:after="120" w:line="264" w:lineRule="auto"/>
        <w:jc w:val="both"/>
        <w:rPr>
          <w:rFonts w:ascii="Times New Roman" w:eastAsia="Times New Roman" w:hAnsi="Times New Roman" w:cs="Times New Roman"/>
          <w:lang w:val="bg-BG"/>
        </w:rPr>
      </w:pPr>
      <w:r w:rsidRPr="00CE38C4">
        <w:rPr>
          <w:rFonts w:ascii="Times New Roman" w:eastAsia="Times New Roman" w:hAnsi="Times New Roman" w:cs="Times New Roman"/>
          <w:bCs/>
          <w:lang w:val="bg-BG"/>
        </w:rPr>
        <w:t> В 98% от проверените 70 предприятия с висок рисков потенциал (ПСВРП) и 64 с нисък рисков потенциал (ПСНРП) през 2019 г. (134 проверки за текущ и последващ контрол), се спазват мерките в Докладите за безопасност (ДБ) или условията в разрешителните по чл. 104, ал. 1 от ЗООС за обектите с висок рисков потенциал и мерките в Докладите за политика по предотвратяване на големи аварии (ДППГА) за обектите с нисък рисков потенциал. Въведени са и се прилагат адекватни управленски, административни и технически мерки за контрол на рисковете от големи аварии, като в 2% от случаите са установени нарушения, за които са съставени 2 акта за установяване на административно нарушение (АУАН) и е издадено 1 наказателно постановление. В сравнение с предходната година е налице  слабо намаляване на броя на установените несъответствия. </w:t>
      </w:r>
    </w:p>
    <w:p w14:paraId="14191701" w14:textId="77777777" w:rsidR="000B6410" w:rsidRPr="00CE38C4" w:rsidRDefault="000B6410" w:rsidP="00CE38C4">
      <w:pPr>
        <w:pStyle w:val="Bodytext20"/>
        <w:shd w:val="clear" w:color="auto" w:fill="auto"/>
        <w:spacing w:before="120" w:line="264" w:lineRule="auto"/>
        <w:ind w:right="57" w:firstLine="0"/>
        <w:rPr>
          <w:rFonts w:ascii="Times New Roman" w:hAnsi="Times New Roman" w:cs="Times New Roman"/>
          <w:lang w:val="bg-BG"/>
        </w:rPr>
      </w:pPr>
      <w:r w:rsidRPr="00CE38C4">
        <w:rPr>
          <w:rFonts w:ascii="Times New Roman" w:hAnsi="Times New Roman" w:cs="Times New Roman"/>
          <w:lang w:val="bg-BG"/>
        </w:rPr>
        <w:t xml:space="preserve">Отговорната употреба на големи количества опасни вещества на територията на предприятията с нисък и висок потенциал изисква систематичен подход към безопасността и предотвратяването на аварии с тези вещества. Този подход е определен в Политиката за предотвратяване на големи аварии (ППГА), чиито принципи се прилагат чрез Системата за управление на мерките за безопасността (СУМБ). Докладът за безопасност (ДБ) е основният инструмент за доказване на еднаквото прилагане на мерките за предотвратяване на големи аварии и за ограничаване на последствията от тях за човешкото здраве, имуществото и околната среда. </w:t>
      </w:r>
    </w:p>
    <w:p w14:paraId="21944A6C" w14:textId="77777777" w:rsidR="000B6410" w:rsidRPr="00CE38C4" w:rsidRDefault="000B6410" w:rsidP="00CE38C4">
      <w:pPr>
        <w:autoSpaceDE w:val="0"/>
        <w:autoSpaceDN w:val="0"/>
        <w:adjustRightInd w:val="0"/>
        <w:spacing w:before="120" w:after="120" w:line="264" w:lineRule="auto"/>
        <w:jc w:val="both"/>
        <w:rPr>
          <w:rFonts w:ascii="Times New Roman" w:hAnsi="Times New Roman" w:cs="Times New Roman"/>
          <w:color w:val="000000"/>
          <w:lang w:val="bg-BG"/>
        </w:rPr>
      </w:pPr>
      <w:r w:rsidRPr="00CE38C4">
        <w:rPr>
          <w:rFonts w:ascii="Times New Roman" w:hAnsi="Times New Roman" w:cs="Times New Roman"/>
          <w:color w:val="000000"/>
          <w:lang w:val="bg-BG"/>
        </w:rPr>
        <w:t xml:space="preserve">Предотвратяването на риска от големи аварии e превантивен инструмент за намаляването на вероятността от възникването и последствията от големи аварии. Измерва се чрез </w:t>
      </w:r>
      <w:r w:rsidRPr="00CE38C4">
        <w:rPr>
          <w:rFonts w:ascii="Times New Roman" w:hAnsi="Times New Roman" w:cs="Times New Roman"/>
          <w:bCs/>
          <w:color w:val="000000"/>
          <w:lang w:val="bg-BG"/>
        </w:rPr>
        <w:t>степента на изпълнение на мерките за предотвратяване на риска от големи аварии заложени в ДБ или разрешителните за обектите с висок рисков потенциал и в ДППГА за обектите с нисък рисков потенциал.</w:t>
      </w:r>
    </w:p>
    <w:p w14:paraId="50F7C888" w14:textId="77777777" w:rsidR="000B6410" w:rsidRPr="00CE38C4" w:rsidRDefault="000B6410" w:rsidP="00CE38C4">
      <w:pPr>
        <w:tabs>
          <w:tab w:val="left" w:pos="993"/>
        </w:tabs>
        <w:spacing w:before="120" w:after="120" w:line="264" w:lineRule="auto"/>
        <w:ind w:right="1"/>
        <w:jc w:val="both"/>
        <w:rPr>
          <w:rFonts w:ascii="Times New Roman" w:hAnsi="Times New Roman" w:cs="Times New Roman"/>
          <w:lang w:val="bg-BG"/>
        </w:rPr>
      </w:pPr>
      <w:r w:rsidRPr="00CE38C4">
        <w:rPr>
          <w:rFonts w:ascii="Times New Roman" w:hAnsi="Times New Roman" w:cs="Times New Roman"/>
          <w:lang w:val="bg-BG"/>
        </w:rPr>
        <w:t>Контролът на операторите на предприятията, класифицирани с нисък или висок рисков потенциал се извършва чрез съвместни проверки от комисии, съставени от оправомощени представители на териториалните и регионалните структури на Министерството на околната среда и водите, Министерството на вътрешните работи, Изпълнителна агенция „Главна инспекция по труда“ и кметовете на общините. Тези комисии провеждат планиран и систематичен контрол на използваните в предприятията системи от техническо, организационно или управленско естество.</w:t>
      </w:r>
    </w:p>
    <w:p w14:paraId="4CD4E531" w14:textId="77777777" w:rsidR="000B6410" w:rsidRPr="00CE38C4" w:rsidRDefault="000B6410" w:rsidP="00CE38C4">
      <w:pPr>
        <w:overflowPunct w:val="0"/>
        <w:autoSpaceDE w:val="0"/>
        <w:autoSpaceDN w:val="0"/>
        <w:adjustRightInd w:val="0"/>
        <w:spacing w:before="120" w:after="120" w:line="264" w:lineRule="auto"/>
        <w:jc w:val="both"/>
        <w:textAlignment w:val="baseline"/>
        <w:rPr>
          <w:rFonts w:ascii="Times New Roman" w:hAnsi="Times New Roman" w:cs="Times New Roman"/>
          <w:lang w:val="bg-BG"/>
        </w:rPr>
      </w:pPr>
      <w:r w:rsidRPr="00CE38C4">
        <w:rPr>
          <w:rFonts w:ascii="Times New Roman" w:hAnsi="Times New Roman" w:cs="Times New Roman"/>
          <w:lang w:val="bg-BG"/>
        </w:rPr>
        <w:t xml:space="preserve">България има задължение да докладва за възникналите аварии с опасни вещества към електронната база данни на Европейската комисия e-MARS, в случай че събитието отговаря на критериите за „голяма авария“, както е определено в приложение V към ЗООС. Информацията е публично достъпна, като в базата данни не се идентифицира, поверителната информация, като името и местоположението на предприятията, за да се запази стойността на информацията с фокус върху извлечените поуки и да се насърчи пълно и точно докладване на случилото се. Целта на базата данни e- MARS е да улесни обмена на поуки от авариите, включващи опасни вещества, с цел подобряване на предотвратяването на химическите аварии и смекчаването на техните последици. </w:t>
      </w:r>
    </w:p>
    <w:p w14:paraId="3839F693" w14:textId="7D8716B4" w:rsidR="000B6410" w:rsidRPr="00CE38C4" w:rsidRDefault="000B6410" w:rsidP="00CE38C4">
      <w:pPr>
        <w:overflowPunct w:val="0"/>
        <w:autoSpaceDE w:val="0"/>
        <w:autoSpaceDN w:val="0"/>
        <w:adjustRightInd w:val="0"/>
        <w:spacing w:before="120" w:after="120" w:line="264" w:lineRule="auto"/>
        <w:jc w:val="both"/>
        <w:textAlignment w:val="baseline"/>
        <w:rPr>
          <w:rFonts w:ascii="Times New Roman" w:hAnsi="Times New Roman" w:cs="Times New Roman"/>
          <w:lang w:val="bg-BG"/>
        </w:rPr>
      </w:pPr>
      <w:r w:rsidRPr="00CE38C4">
        <w:rPr>
          <w:rFonts w:ascii="Times New Roman" w:hAnsi="Times New Roman" w:cs="Times New Roman"/>
          <w:lang w:val="bg-BG"/>
        </w:rPr>
        <w:t>Следва да се отбележи, че през последните години не са регистрирани големи аварии с опасни вещества на територията на страната.</w:t>
      </w:r>
    </w:p>
    <w:p w14:paraId="7AFB4C68" w14:textId="77777777" w:rsidR="00575ABF" w:rsidRPr="00BD246F" w:rsidRDefault="00575ABF" w:rsidP="00575ABF">
      <w:pPr>
        <w:pStyle w:val="Heading2"/>
        <w:rPr>
          <w:rFonts w:eastAsia="Times New Roman"/>
          <w:lang w:val="bg-BG"/>
        </w:rPr>
      </w:pPr>
      <w:bookmarkStart w:id="7" w:name="_Toc74125050"/>
      <w:r w:rsidRPr="00BD246F">
        <w:rPr>
          <w:rFonts w:eastAsia="Times New Roman"/>
          <w:lang w:val="bg-BG"/>
        </w:rPr>
        <w:t xml:space="preserve">Перспективи и препоръки за постигане на целите </w:t>
      </w:r>
      <w:bookmarkEnd w:id="7"/>
    </w:p>
    <w:p w14:paraId="67392CFA" w14:textId="6CC01199" w:rsidR="005749A9" w:rsidRPr="008A165F" w:rsidRDefault="005749A9" w:rsidP="00575ABF">
      <w:pPr>
        <w:spacing w:before="120" w:after="120" w:line="264" w:lineRule="auto"/>
        <w:jc w:val="both"/>
        <w:rPr>
          <w:rStyle w:val="viiyi"/>
          <w:rFonts w:ascii="Times New Roman" w:hAnsi="Times New Roman" w:cs="Times New Roman"/>
          <w:lang w:val="bg-BG"/>
        </w:rPr>
      </w:pPr>
      <w:r w:rsidRPr="008A165F">
        <w:rPr>
          <w:rStyle w:val="jlqj4b"/>
          <w:rFonts w:ascii="Times New Roman" w:hAnsi="Times New Roman" w:cs="Times New Roman"/>
          <w:lang w:val="bg-BG"/>
        </w:rPr>
        <w:t>Възникващи опасения. Докладът за състоянието на околната среда в Европа за 2020 г. посочва, че от хилядите индустриални химикали, произведени и пуснати в околната среда, се наблюдават и отчитат само ограничен брой. На европейско ниво са налични много ограничени данни за дифузното замърсяване от пестициди, биоциди, фармацевтични продукти, перилни препарати. , продукти и материали, присъстващи в потребителски стоки и сгради (Bolinius et al., 2018).</w:t>
      </w:r>
      <w:r w:rsidRPr="008A165F">
        <w:rPr>
          <w:rStyle w:val="viiyi"/>
          <w:rFonts w:ascii="Times New Roman" w:hAnsi="Times New Roman" w:cs="Times New Roman"/>
          <w:lang w:val="bg-BG"/>
        </w:rPr>
        <w:t xml:space="preserve"> </w:t>
      </w:r>
      <w:r w:rsidRPr="008A165F">
        <w:rPr>
          <w:rStyle w:val="jlqj4b"/>
          <w:rFonts w:ascii="Times New Roman" w:hAnsi="Times New Roman" w:cs="Times New Roman"/>
          <w:lang w:val="bg-BG"/>
        </w:rPr>
        <w:t>Група устойчиви, силно разтворими във вода и подвижни химикали пораждат все по-голямо безпокойство и са открити в европейските сладководни басейни. В отговор, Германия предлага такива химични вещества се третират съгласно Регламента REACH като химични вещества, класифицирани като (много) устойчиви, (много) биоакумулиращи се и токсични (Neumann and Schliebner, 2017; Arp, 2018).</w:t>
      </w:r>
      <w:r w:rsidRPr="008A165F">
        <w:rPr>
          <w:rStyle w:val="viiyi"/>
          <w:rFonts w:ascii="Times New Roman" w:hAnsi="Times New Roman" w:cs="Times New Roman"/>
          <w:lang w:val="bg-BG"/>
        </w:rPr>
        <w:t xml:space="preserve"> </w:t>
      </w:r>
    </w:p>
    <w:p w14:paraId="1F7003EF" w14:textId="22ECE45B" w:rsidR="005749A9" w:rsidRPr="008A165F" w:rsidRDefault="005749A9" w:rsidP="00575ABF">
      <w:pPr>
        <w:spacing w:before="120" w:after="120" w:line="264" w:lineRule="auto"/>
        <w:jc w:val="both"/>
        <w:rPr>
          <w:rFonts w:ascii="Times New Roman" w:hAnsi="Times New Roman" w:cs="Times New Roman"/>
          <w:lang w:val="bg-BG"/>
        </w:rPr>
      </w:pPr>
      <w:r w:rsidRPr="008A165F">
        <w:rPr>
          <w:rStyle w:val="viiyi"/>
          <w:rFonts w:ascii="Times New Roman" w:hAnsi="Times New Roman" w:cs="Times New Roman"/>
          <w:lang w:val="bg-BG"/>
        </w:rPr>
        <w:t xml:space="preserve">Многобройни отделяни химични вещества остават извън наблюдение. </w:t>
      </w:r>
    </w:p>
    <w:p w14:paraId="6CF25D81" w14:textId="77777777" w:rsidR="005749A9" w:rsidRPr="008A165F" w:rsidRDefault="005749A9" w:rsidP="00575ABF">
      <w:pPr>
        <w:spacing w:before="120" w:after="120" w:line="264" w:lineRule="auto"/>
        <w:jc w:val="both"/>
        <w:rPr>
          <w:rStyle w:val="jlqj4b"/>
          <w:rFonts w:ascii="Times New Roman" w:hAnsi="Times New Roman" w:cs="Times New Roman"/>
          <w:lang w:val="bg-BG"/>
        </w:rPr>
      </w:pPr>
      <w:r w:rsidRPr="008A165F">
        <w:rPr>
          <w:rStyle w:val="jlqj4b"/>
          <w:rFonts w:ascii="Times New Roman" w:hAnsi="Times New Roman" w:cs="Times New Roman"/>
          <w:lang w:val="bg-BG"/>
        </w:rPr>
        <w:t xml:space="preserve">Липсват познания за въздействието на многожество химични вещества и смеси върху околната среда. Не всички химикали или продуктите от тяхната трансформация са оценени, а оценките за екотоксичност се фокусират върху много малко видове и екосистеми. </w:t>
      </w:r>
    </w:p>
    <w:p w14:paraId="670A6552" w14:textId="77777777" w:rsidR="008A165F" w:rsidRPr="008A165F" w:rsidRDefault="005749A9" w:rsidP="00575ABF">
      <w:pPr>
        <w:spacing w:before="120" w:after="120" w:line="264" w:lineRule="auto"/>
        <w:jc w:val="both"/>
        <w:rPr>
          <w:rStyle w:val="jlqj4b"/>
          <w:rFonts w:ascii="Times New Roman" w:hAnsi="Times New Roman" w:cs="Times New Roman"/>
          <w:lang w:val="bg-BG"/>
        </w:rPr>
      </w:pPr>
      <w:r w:rsidRPr="008A165F">
        <w:rPr>
          <w:rStyle w:val="jlqj4b"/>
          <w:rFonts w:ascii="Times New Roman" w:hAnsi="Times New Roman" w:cs="Times New Roman"/>
          <w:lang w:val="bg-BG"/>
        </w:rPr>
        <w:t>Това означава, че липсват достатъчно знания за наличие на химикали</w:t>
      </w:r>
      <w:r w:rsidR="008A165F" w:rsidRPr="008A165F">
        <w:rPr>
          <w:rStyle w:val="jlqj4b"/>
          <w:rFonts w:ascii="Times New Roman" w:hAnsi="Times New Roman" w:cs="Times New Roman"/>
          <w:lang w:val="bg-BG"/>
        </w:rPr>
        <w:t xml:space="preserve"> и така не могат да бъдат обяснени </w:t>
      </w:r>
      <w:r w:rsidRPr="008A165F">
        <w:rPr>
          <w:rStyle w:val="jlqj4b"/>
          <w:rFonts w:ascii="Times New Roman" w:hAnsi="Times New Roman" w:cs="Times New Roman"/>
          <w:lang w:val="bg-BG"/>
        </w:rPr>
        <w:t>наблюдаваните ефекти</w:t>
      </w:r>
      <w:r w:rsidR="008A165F" w:rsidRPr="008A165F">
        <w:rPr>
          <w:rStyle w:val="jlqj4b"/>
          <w:rFonts w:ascii="Times New Roman" w:hAnsi="Times New Roman" w:cs="Times New Roman"/>
          <w:lang w:val="bg-BG"/>
        </w:rPr>
        <w:t xml:space="preserve"> от една страна. От друга, </w:t>
      </w:r>
      <w:r w:rsidRPr="008A165F">
        <w:rPr>
          <w:rStyle w:val="jlqj4b"/>
          <w:rFonts w:ascii="Times New Roman" w:hAnsi="Times New Roman" w:cs="Times New Roman"/>
          <w:lang w:val="bg-BG"/>
        </w:rPr>
        <w:t xml:space="preserve">информацията за екологичното въздействие сама по себе си не е достатъчна за идентифициране на химикалите, причиняващи това въздействие. </w:t>
      </w:r>
      <w:r w:rsidR="008A165F" w:rsidRPr="008A165F">
        <w:rPr>
          <w:rStyle w:val="jlqj4b"/>
          <w:rFonts w:ascii="Times New Roman" w:hAnsi="Times New Roman" w:cs="Times New Roman"/>
          <w:lang w:val="bg-BG"/>
        </w:rPr>
        <w:t>Н</w:t>
      </w:r>
      <w:r w:rsidRPr="008A165F">
        <w:rPr>
          <w:rStyle w:val="jlqj4b"/>
          <w:rFonts w:ascii="Times New Roman" w:hAnsi="Times New Roman" w:cs="Times New Roman"/>
          <w:lang w:val="bg-BG"/>
        </w:rPr>
        <w:t>еобходими</w:t>
      </w:r>
      <w:r w:rsidR="008A165F" w:rsidRPr="008A165F">
        <w:rPr>
          <w:rStyle w:val="jlqj4b"/>
          <w:rFonts w:ascii="Times New Roman" w:hAnsi="Times New Roman" w:cs="Times New Roman"/>
          <w:lang w:val="bg-BG"/>
        </w:rPr>
        <w:t xml:space="preserve"> са</w:t>
      </w:r>
      <w:r w:rsidRPr="008A165F">
        <w:rPr>
          <w:rStyle w:val="jlqj4b"/>
          <w:rFonts w:ascii="Times New Roman" w:hAnsi="Times New Roman" w:cs="Times New Roman"/>
          <w:lang w:val="bg-BG"/>
        </w:rPr>
        <w:t xml:space="preserve"> множество доказателства, както и предпазни подходи (EEA, 2018a). Оценките на въздействията върху околната среда въз основа на данните от мониторинга на общоизвестните замърсители вероятно ще подценя</w:t>
      </w:r>
      <w:r w:rsidR="008A165F" w:rsidRPr="008A165F">
        <w:rPr>
          <w:rStyle w:val="jlqj4b"/>
          <w:rFonts w:ascii="Times New Roman" w:hAnsi="Times New Roman" w:cs="Times New Roman"/>
          <w:lang w:val="bg-BG"/>
        </w:rPr>
        <w:t>ва</w:t>
      </w:r>
      <w:r w:rsidRPr="008A165F">
        <w:rPr>
          <w:rStyle w:val="jlqj4b"/>
          <w:rFonts w:ascii="Times New Roman" w:hAnsi="Times New Roman" w:cs="Times New Roman"/>
          <w:lang w:val="bg-BG"/>
        </w:rPr>
        <w:t xml:space="preserve"> рисковете (Sobek et al., 2016). </w:t>
      </w:r>
    </w:p>
    <w:p w14:paraId="431CC6FB" w14:textId="77777777" w:rsidR="008A165F" w:rsidRPr="008A165F" w:rsidRDefault="005749A9" w:rsidP="00575ABF">
      <w:pPr>
        <w:spacing w:before="120" w:after="120" w:line="264" w:lineRule="auto"/>
        <w:jc w:val="both"/>
        <w:rPr>
          <w:rStyle w:val="jlqj4b"/>
          <w:rFonts w:ascii="Times New Roman" w:hAnsi="Times New Roman" w:cs="Times New Roman"/>
          <w:lang w:val="bg-BG"/>
        </w:rPr>
      </w:pPr>
      <w:r w:rsidRPr="008A165F">
        <w:rPr>
          <w:rStyle w:val="jlqj4b"/>
          <w:rFonts w:ascii="Times New Roman" w:hAnsi="Times New Roman" w:cs="Times New Roman"/>
          <w:lang w:val="bg-BG"/>
        </w:rPr>
        <w:t xml:space="preserve">ЕС се стреми да постигне целта, употребата на продукти за растителна защита </w:t>
      </w:r>
      <w:r w:rsidR="008A165F" w:rsidRPr="008A165F">
        <w:rPr>
          <w:rStyle w:val="jlqj4b"/>
          <w:rFonts w:ascii="Times New Roman" w:hAnsi="Times New Roman" w:cs="Times New Roman"/>
          <w:lang w:val="bg-BG"/>
        </w:rPr>
        <w:t xml:space="preserve">да не оказва </w:t>
      </w:r>
      <w:r w:rsidRPr="008A165F">
        <w:rPr>
          <w:rStyle w:val="jlqj4b"/>
          <w:rFonts w:ascii="Times New Roman" w:hAnsi="Times New Roman" w:cs="Times New Roman"/>
          <w:lang w:val="bg-BG"/>
        </w:rPr>
        <w:t xml:space="preserve">никакво вредно въздействие върху човешкото здраве или неприемливо влияние върху околната среда и че такива продукти се използват устойчиво. </w:t>
      </w:r>
    </w:p>
    <w:p w14:paraId="549E775F" w14:textId="47361135" w:rsidR="008A165F" w:rsidRPr="002817B2" w:rsidRDefault="008A165F" w:rsidP="00575ABF">
      <w:pPr>
        <w:spacing w:before="120" w:after="120" w:line="264" w:lineRule="auto"/>
        <w:jc w:val="both"/>
        <w:rPr>
          <w:rStyle w:val="jlqj4b"/>
          <w:rFonts w:ascii="Times New Roman" w:hAnsi="Times New Roman" w:cs="Times New Roman"/>
          <w:lang w:val="bg-BG"/>
        </w:rPr>
      </w:pPr>
      <w:r w:rsidRPr="008A165F">
        <w:rPr>
          <w:rStyle w:val="jlqj4b"/>
          <w:rFonts w:ascii="Times New Roman" w:hAnsi="Times New Roman" w:cs="Times New Roman"/>
          <w:lang w:val="bg-BG"/>
        </w:rPr>
        <w:t>Използването на химикали може да окаже въздействие върху екосистемните услуги, например чистотата на почвите и респектинво – произведените храни.</w:t>
      </w:r>
      <w:r w:rsidRPr="008A165F">
        <w:rPr>
          <w:rStyle w:val="viiyi"/>
          <w:rFonts w:ascii="Times New Roman" w:hAnsi="Times New Roman" w:cs="Times New Roman"/>
          <w:lang w:val="bg-BG"/>
        </w:rPr>
        <w:t xml:space="preserve"> </w:t>
      </w:r>
      <w:r w:rsidRPr="008A165F">
        <w:rPr>
          <w:rStyle w:val="jlqj4b"/>
          <w:rFonts w:ascii="Times New Roman" w:hAnsi="Times New Roman" w:cs="Times New Roman"/>
          <w:lang w:val="bg-BG"/>
        </w:rPr>
        <w:t xml:space="preserve">Химическите замърсители могат да се натрупват в почвата чрез прилагане на пестициди, неорганични торове, съдържащи метали и утайки, и оборски тор и отпадни води за напояване, съдържащи фармацевтични продукти, биоциди, детергенти и микропластмаси. Почвените замърсители засягат както безгръбначните, така и микробите и намаляват способността им да разграждат растителните вещества до хранителни </w:t>
      </w:r>
      <w:r w:rsidRPr="002817B2">
        <w:rPr>
          <w:rStyle w:val="jlqj4b"/>
          <w:rFonts w:ascii="Times New Roman" w:hAnsi="Times New Roman" w:cs="Times New Roman"/>
          <w:lang w:val="bg-BG"/>
        </w:rPr>
        <w:t>вещества, засягайки производителността на почвите.</w:t>
      </w:r>
    </w:p>
    <w:p w14:paraId="6C208947" w14:textId="77777777" w:rsidR="002817B2" w:rsidRPr="002817B2" w:rsidRDefault="002817B2" w:rsidP="00575ABF">
      <w:pPr>
        <w:spacing w:before="120" w:after="120" w:line="264" w:lineRule="auto"/>
        <w:jc w:val="both"/>
        <w:rPr>
          <w:rStyle w:val="jlqj4b"/>
          <w:rFonts w:ascii="Times New Roman" w:hAnsi="Times New Roman" w:cs="Times New Roman"/>
          <w:lang w:val="bg-BG"/>
        </w:rPr>
      </w:pPr>
      <w:r w:rsidRPr="002817B2">
        <w:rPr>
          <w:rStyle w:val="jlqj4b"/>
          <w:rFonts w:ascii="Times New Roman" w:hAnsi="Times New Roman" w:cs="Times New Roman"/>
          <w:lang w:val="bg-BG"/>
        </w:rPr>
        <w:t xml:space="preserve">Непрекъснатите и големи количества изпускане на биоактивни биоциди, фунгициди, продукти за растителна защита, повърхностноактивни вещества и фармацевтични продукти в околната среда засягат екосистемите и представляват рискове за развитието на по-широка устойчивост на антибиотици и гъбички. През 2017 г. Европейската комисия издаде план за действие относно антимикробната резистентност (ЕО, 2017 г.), който да допълни съществуващите закони като Регламента за биоцидите (ЕС, 2012 г.). Стратегията за фармацевтичните продукти в околната среда е приета през март 2019 г. (ЕО, 2019a), както се изисква в Рамковата директива за водите и повторено с решение на Европейския съвет през декември 2016 г. (Съвет на Европейския съюз, 2016 г.). </w:t>
      </w:r>
    </w:p>
    <w:p w14:paraId="17276AE6" w14:textId="02DBCDA9" w:rsidR="002817B2" w:rsidRPr="002817B2" w:rsidRDefault="002817B2" w:rsidP="00575ABF">
      <w:pPr>
        <w:spacing w:before="120" w:after="120" w:line="264" w:lineRule="auto"/>
        <w:jc w:val="both"/>
        <w:rPr>
          <w:rStyle w:val="jlqj4b"/>
          <w:rFonts w:ascii="Times New Roman" w:hAnsi="Times New Roman" w:cs="Times New Roman"/>
          <w:lang w:val="bg-BG"/>
        </w:rPr>
      </w:pPr>
      <w:r w:rsidRPr="002817B2">
        <w:rPr>
          <w:rStyle w:val="jlqj4b"/>
          <w:rFonts w:ascii="Times New Roman" w:hAnsi="Times New Roman" w:cs="Times New Roman"/>
          <w:lang w:val="bg-BG"/>
        </w:rPr>
        <w:t xml:space="preserve">Бързото развитие и използване, както и емисиите на наноматериали в околната среда, които могат да представляват различни и по-малко разбираеми рискове, е друга област на безпокойство (EEA, 2013; EU, 2013; Hansen, 2018). </w:t>
      </w:r>
    </w:p>
    <w:p w14:paraId="742C4B81" w14:textId="77777777" w:rsidR="002817B2" w:rsidRPr="002817B2" w:rsidRDefault="002817B2" w:rsidP="00575ABF">
      <w:pPr>
        <w:spacing w:before="120" w:after="120" w:line="264" w:lineRule="auto"/>
        <w:jc w:val="both"/>
        <w:rPr>
          <w:rStyle w:val="jlqj4b"/>
          <w:rFonts w:ascii="Times New Roman" w:hAnsi="Times New Roman" w:cs="Times New Roman"/>
          <w:lang w:val="bg-BG"/>
        </w:rPr>
      </w:pPr>
      <w:r w:rsidRPr="002817B2">
        <w:rPr>
          <w:rStyle w:val="jlqj4b"/>
          <w:rFonts w:ascii="Times New Roman" w:hAnsi="Times New Roman" w:cs="Times New Roman"/>
          <w:lang w:val="bg-BG"/>
        </w:rPr>
        <w:t xml:space="preserve">Хората са изложени на химични вещества и смеси чрез диетата си, околната среда и контакта с широка гама от потребителски продукти. Някои групи от хора са по-уязвими, било защото са изложени на по-високи концентрации на опасни химикали или на смеси или защото телата им са по-чувствителни към въздействието на опасни химикали. Работниците, работещи с химикали, обикновено са изложени на най-високи нива (EU-OSHA, 2017a). </w:t>
      </w:r>
    </w:p>
    <w:p w14:paraId="222D5AF1" w14:textId="77777777" w:rsidR="002817B2" w:rsidRPr="002817B2" w:rsidRDefault="002817B2" w:rsidP="00575ABF">
      <w:pPr>
        <w:spacing w:before="120" w:after="120" w:line="264" w:lineRule="auto"/>
        <w:jc w:val="both"/>
        <w:rPr>
          <w:rStyle w:val="jlqj4b"/>
          <w:rFonts w:ascii="Times New Roman" w:hAnsi="Times New Roman" w:cs="Times New Roman"/>
          <w:lang w:val="bg-BG"/>
        </w:rPr>
      </w:pPr>
      <w:r w:rsidRPr="002817B2">
        <w:rPr>
          <w:rStyle w:val="jlqj4b"/>
          <w:rFonts w:ascii="Times New Roman" w:hAnsi="Times New Roman" w:cs="Times New Roman"/>
          <w:lang w:val="bg-BG"/>
        </w:rPr>
        <w:t xml:space="preserve">Малките деца и бременните жени са особено чувствителни, тъй като излагането на химикали, които причиняват токсичност за развитието на ендокринната, неврологичната и имунната система по време на развитието на плода и ранното детство, може да доведе до хронични заболявания по-късно в живота или в по-късни поколения (Grandjean и Bellanger, 2017) . Липсват надеждни данни за действителната експозиция на европейското население на опасни химикали, за да се разбере разбирането на рисковете за човешкото здраве. За да се разбере по-добре излагането на химикали, човешкият биомониторинг може да се използва за измерване на концентрациите на химикали в кръвта, кърмата, урината или косата. </w:t>
      </w:r>
    </w:p>
    <w:p w14:paraId="0FC7E30E" w14:textId="6B7CEEB7" w:rsidR="002817B2" w:rsidRDefault="002817B2" w:rsidP="00575ABF">
      <w:pPr>
        <w:spacing w:before="120" w:after="120" w:line="264" w:lineRule="auto"/>
        <w:jc w:val="both"/>
        <w:rPr>
          <w:rStyle w:val="jlqj4b"/>
          <w:rFonts w:ascii="Times New Roman" w:hAnsi="Times New Roman" w:cs="Times New Roman"/>
          <w:lang w:val="bg-BG"/>
        </w:rPr>
      </w:pPr>
      <w:r w:rsidRPr="002817B2">
        <w:rPr>
          <w:rStyle w:val="jlqj4b"/>
          <w:rFonts w:ascii="Times New Roman" w:hAnsi="Times New Roman" w:cs="Times New Roman"/>
          <w:lang w:val="bg-BG"/>
        </w:rPr>
        <w:t xml:space="preserve">Европейската инициатива за биомониторинг на хора, в момента събира данни за експозицията на човека. Целта на инициативата е да се изготвят съгласувани, сравними данни за експозицията за европейското население, за да се оценят съществуващите мерки и да се подпомогне разработването на целенасочени политически мерки за осигуряване на химическа безопасност. </w:t>
      </w:r>
    </w:p>
    <w:p w14:paraId="15AF1896" w14:textId="1917017A" w:rsidR="00575ABF" w:rsidRPr="00FD5606" w:rsidRDefault="00575ABF" w:rsidP="00575ABF">
      <w:pPr>
        <w:spacing w:before="120" w:after="120" w:line="264" w:lineRule="auto"/>
        <w:jc w:val="both"/>
        <w:rPr>
          <w:rFonts w:ascii="Times New Roman" w:hAnsi="Times New Roman" w:cs="Times New Roman"/>
          <w:b/>
          <w:bCs/>
          <w:lang w:val="bg-BG"/>
        </w:rPr>
      </w:pPr>
      <w:r w:rsidRPr="00FD5606">
        <w:rPr>
          <w:rFonts w:ascii="Times New Roman" w:hAnsi="Times New Roman" w:cs="Times New Roman"/>
          <w:b/>
          <w:bCs/>
          <w:lang w:val="bg-BG"/>
        </w:rPr>
        <w:t>В анализ изготвен от МОСВ</w:t>
      </w:r>
      <w:r w:rsidR="00EE1AAE">
        <w:rPr>
          <w:rStyle w:val="FootnoteReference"/>
          <w:rFonts w:ascii="Times New Roman" w:hAnsi="Times New Roman" w:cs="Times New Roman"/>
          <w:b/>
          <w:bCs/>
          <w:lang w:val="bg-BG"/>
        </w:rPr>
        <w:footnoteReference w:id="20"/>
      </w:r>
      <w:r w:rsidRPr="00FD5606">
        <w:rPr>
          <w:rFonts w:ascii="Times New Roman" w:hAnsi="Times New Roman" w:cs="Times New Roman"/>
          <w:b/>
          <w:bCs/>
          <w:lang w:val="bg-BG"/>
        </w:rPr>
        <w:t xml:space="preserve"> по отношение на химич</w:t>
      </w:r>
      <w:r>
        <w:rPr>
          <w:rFonts w:ascii="Times New Roman" w:hAnsi="Times New Roman" w:cs="Times New Roman"/>
          <w:b/>
          <w:bCs/>
          <w:lang w:val="bg-BG"/>
        </w:rPr>
        <w:t>н</w:t>
      </w:r>
      <w:r w:rsidRPr="00FD5606">
        <w:rPr>
          <w:rFonts w:ascii="Times New Roman" w:hAnsi="Times New Roman" w:cs="Times New Roman"/>
          <w:b/>
          <w:bCs/>
          <w:lang w:val="bg-BG"/>
        </w:rPr>
        <w:t>ите вещества са определени следните общи силни страни и предизвикателства:</w:t>
      </w:r>
    </w:p>
    <w:p w14:paraId="794EEE0F" w14:textId="77777777" w:rsidR="00575ABF" w:rsidRPr="00FD5606" w:rsidRDefault="00575ABF" w:rsidP="00575ABF">
      <w:pPr>
        <w:spacing w:before="120" w:after="120" w:line="264" w:lineRule="auto"/>
        <w:jc w:val="both"/>
        <w:rPr>
          <w:rFonts w:ascii="Times New Roman" w:hAnsi="Times New Roman" w:cs="Times New Roman"/>
          <w:lang w:val="bg-BG" w:eastAsia="bg-BG"/>
        </w:rPr>
      </w:pPr>
      <w:r w:rsidRPr="00FD5606">
        <w:rPr>
          <w:rFonts w:ascii="Times New Roman" w:hAnsi="Times New Roman" w:cs="Times New Roman"/>
          <w:lang w:val="bg-BG" w:eastAsia="bg-BG"/>
        </w:rPr>
        <w:t>Националната политика съответства с европейските разпоредби по опазване на околната среда, намаляване на риска за човешкото здраве и околната среда от употребата на химикали и гарантирано свободно движение на стоки и сигурност за потребителя.</w:t>
      </w:r>
    </w:p>
    <w:p w14:paraId="640F9ECC" w14:textId="77777777" w:rsidR="00575ABF" w:rsidRPr="00FD5606" w:rsidRDefault="00575ABF" w:rsidP="00575ABF">
      <w:pPr>
        <w:spacing w:before="120" w:after="120" w:line="264" w:lineRule="auto"/>
        <w:jc w:val="both"/>
        <w:rPr>
          <w:rFonts w:ascii="Times New Roman" w:hAnsi="Times New Roman" w:cs="Times New Roman"/>
          <w:lang w:val="bg-BG"/>
        </w:rPr>
      </w:pPr>
      <w:r w:rsidRPr="00FD5606">
        <w:rPr>
          <w:rFonts w:ascii="Times New Roman" w:hAnsi="Times New Roman" w:cs="Times New Roman"/>
          <w:lang w:val="bg-BG" w:eastAsia="bg-BG"/>
        </w:rPr>
        <w:t xml:space="preserve">МОСВ, ИАОС и РИОСВ имат </w:t>
      </w:r>
      <w:r w:rsidRPr="00FD5606">
        <w:rPr>
          <w:rFonts w:ascii="Times New Roman" w:hAnsi="Times New Roman" w:cs="Times New Roman"/>
          <w:lang w:val="bg-BG"/>
        </w:rPr>
        <w:t>административен капацитет, позволяващ прилагането и контрола на нормативната уредба, съществува добра координация между контролните органи и създаден механизъм за извършване на съвместни проверки</w:t>
      </w:r>
      <w:r>
        <w:rPr>
          <w:rFonts w:ascii="Times New Roman" w:hAnsi="Times New Roman" w:cs="Times New Roman"/>
          <w:lang w:val="bg-BG"/>
        </w:rPr>
        <w:t>.</w:t>
      </w:r>
    </w:p>
    <w:p w14:paraId="464BE0EF" w14:textId="77777777" w:rsidR="00575ABF" w:rsidRPr="00FD5606" w:rsidRDefault="00575ABF" w:rsidP="00575ABF">
      <w:pPr>
        <w:spacing w:before="120" w:after="120" w:line="264" w:lineRule="auto"/>
        <w:jc w:val="both"/>
        <w:rPr>
          <w:rFonts w:ascii="Times New Roman" w:hAnsi="Times New Roman" w:cs="Times New Roman"/>
          <w:lang w:val="bg-BG"/>
        </w:rPr>
      </w:pPr>
      <w:r>
        <w:rPr>
          <w:rFonts w:ascii="Times New Roman" w:hAnsi="Times New Roman" w:cs="Times New Roman"/>
          <w:lang w:val="bg-BG"/>
        </w:rPr>
        <w:t>Предоставена е възможност на компетентния орган за достъп до</w:t>
      </w:r>
      <w:r w:rsidRPr="00FD5606">
        <w:rPr>
          <w:rFonts w:ascii="Times New Roman" w:hAnsi="Times New Roman" w:cs="Times New Roman"/>
          <w:lang w:val="bg-BG"/>
        </w:rPr>
        <w:t xml:space="preserve"> електронни</w:t>
      </w:r>
      <w:r>
        <w:rPr>
          <w:rFonts w:ascii="Times New Roman" w:hAnsi="Times New Roman" w:cs="Times New Roman"/>
          <w:lang w:val="bg-BG"/>
        </w:rPr>
        <w:t>те</w:t>
      </w:r>
      <w:r w:rsidRPr="00FD5606">
        <w:rPr>
          <w:rFonts w:ascii="Times New Roman" w:hAnsi="Times New Roman" w:cs="Times New Roman"/>
          <w:lang w:val="bg-BG"/>
        </w:rPr>
        <w:t xml:space="preserve"> бази-данни </w:t>
      </w:r>
      <w:r>
        <w:rPr>
          <w:rFonts w:ascii="Times New Roman" w:hAnsi="Times New Roman" w:cs="Times New Roman"/>
          <w:lang w:val="bg-BG"/>
        </w:rPr>
        <w:t xml:space="preserve">на ЕСНА </w:t>
      </w:r>
      <w:r w:rsidRPr="00FD5606">
        <w:rPr>
          <w:rFonts w:ascii="Times New Roman" w:hAnsi="Times New Roman" w:cs="Times New Roman"/>
          <w:lang w:val="bg-BG"/>
        </w:rPr>
        <w:t xml:space="preserve">за: </w:t>
      </w:r>
      <w:r>
        <w:rPr>
          <w:rFonts w:ascii="Times New Roman" w:hAnsi="Times New Roman" w:cs="Times New Roman"/>
          <w:lang w:val="bg-BG"/>
        </w:rPr>
        <w:t xml:space="preserve">регистрираните </w:t>
      </w:r>
      <w:r w:rsidRPr="00FD5606">
        <w:rPr>
          <w:rFonts w:ascii="Times New Roman" w:hAnsi="Times New Roman" w:cs="Times New Roman"/>
          <w:lang w:val="bg-BG"/>
        </w:rPr>
        <w:t>химични вещества</w:t>
      </w:r>
      <w:r>
        <w:rPr>
          <w:rFonts w:ascii="Times New Roman" w:hAnsi="Times New Roman" w:cs="Times New Roman"/>
          <w:lang w:val="bg-BG"/>
        </w:rPr>
        <w:t>, списъка за класификация и етикетиране (</w:t>
      </w:r>
      <w:r>
        <w:rPr>
          <w:rFonts w:ascii="Times New Roman" w:hAnsi="Times New Roman" w:cs="Times New Roman"/>
        </w:rPr>
        <w:t>C</w:t>
      </w:r>
      <w:r w:rsidRPr="006C3ADF">
        <w:rPr>
          <w:rFonts w:ascii="Times New Roman" w:hAnsi="Times New Roman" w:cs="Times New Roman"/>
          <w:lang w:val="bg-BG"/>
        </w:rPr>
        <w:t>&amp;</w:t>
      </w:r>
      <w:r>
        <w:rPr>
          <w:rFonts w:ascii="Times New Roman" w:hAnsi="Times New Roman" w:cs="Times New Roman"/>
        </w:rPr>
        <w:t>L</w:t>
      </w:r>
      <w:r w:rsidRPr="006C3ADF">
        <w:rPr>
          <w:rFonts w:ascii="Times New Roman" w:hAnsi="Times New Roman" w:cs="Times New Roman"/>
          <w:lang w:val="bg-BG"/>
        </w:rPr>
        <w:t xml:space="preserve"> </w:t>
      </w:r>
      <w:r>
        <w:rPr>
          <w:rFonts w:ascii="Times New Roman" w:hAnsi="Times New Roman" w:cs="Times New Roman"/>
        </w:rPr>
        <w:t>Inventory</w:t>
      </w:r>
      <w:r>
        <w:rPr>
          <w:rFonts w:ascii="Times New Roman" w:hAnsi="Times New Roman" w:cs="Times New Roman"/>
          <w:lang w:val="bg-BG"/>
        </w:rPr>
        <w:t xml:space="preserve">) и друга информация предоставяна от индустрията в изпълнение на изискванията на химичното законодателство. На </w:t>
      </w:r>
      <w:r w:rsidRPr="00FD5606">
        <w:rPr>
          <w:rFonts w:ascii="Times New Roman" w:hAnsi="Times New Roman" w:cs="Times New Roman"/>
          <w:lang w:val="bg-BG"/>
        </w:rPr>
        <w:t>Интернет страница</w:t>
      </w:r>
      <w:r>
        <w:rPr>
          <w:rFonts w:ascii="Times New Roman" w:hAnsi="Times New Roman" w:cs="Times New Roman"/>
          <w:lang w:val="bg-BG"/>
        </w:rPr>
        <w:t xml:space="preserve">та на МОСВ се публикува актуална информация за приложимото законодателство, за провеждане на обществени консултации, указания и ръководства за операторите, информация за контролната дейност, събития, семинари и др.  На страницата е изградена и се поддържа </w:t>
      </w:r>
      <w:r>
        <w:rPr>
          <w:rFonts w:ascii="Times New Roman" w:hAnsi="Times New Roman" w:cs="Times New Roman"/>
        </w:rPr>
        <w:t>web</w:t>
      </w:r>
      <w:r>
        <w:rPr>
          <w:rFonts w:ascii="Times New Roman" w:hAnsi="Times New Roman" w:cs="Times New Roman"/>
          <w:lang w:val="bg-BG"/>
        </w:rPr>
        <w:t>-форма за контакт с Н</w:t>
      </w:r>
      <w:r w:rsidRPr="00FD5606">
        <w:rPr>
          <w:rFonts w:ascii="Times New Roman" w:hAnsi="Times New Roman" w:cs="Times New Roman"/>
          <w:lang w:val="bg-BG"/>
        </w:rPr>
        <w:t>ационално Информационно бюро</w:t>
      </w:r>
      <w:r>
        <w:rPr>
          <w:rFonts w:ascii="Times New Roman" w:hAnsi="Times New Roman" w:cs="Times New Roman"/>
          <w:lang w:val="bg-BG"/>
        </w:rPr>
        <w:t xml:space="preserve"> по химикали.</w:t>
      </w:r>
    </w:p>
    <w:p w14:paraId="6E3FAB6F" w14:textId="5C7A084C" w:rsidR="0002601C" w:rsidRPr="0067300D" w:rsidRDefault="00575ABF" w:rsidP="001A3F27">
      <w:pPr>
        <w:jc w:val="both"/>
        <w:rPr>
          <w:lang w:val="bg-BG"/>
        </w:rPr>
      </w:pPr>
      <w:bookmarkStart w:id="8" w:name="_Hlk74521716"/>
      <w:r w:rsidRPr="0067300D">
        <w:rPr>
          <w:rFonts w:ascii="Times New Roman" w:hAnsi="Times New Roman" w:cs="Times New Roman"/>
          <w:lang w:val="bg-BG" w:eastAsia="bg-BG"/>
        </w:rPr>
        <w:t>В Доклада за България</w:t>
      </w:r>
      <w:r w:rsidR="001A3F27">
        <w:rPr>
          <w:rFonts w:ascii="Times New Roman" w:hAnsi="Times New Roman" w:cs="Times New Roman"/>
          <w:lang w:val="bg-BG" w:eastAsia="bg-BG"/>
        </w:rPr>
        <w:t>:</w:t>
      </w:r>
      <w:r w:rsidRPr="0067300D">
        <w:rPr>
          <w:rFonts w:ascii="Times New Roman" w:hAnsi="Times New Roman" w:cs="Times New Roman"/>
          <w:lang w:val="bg-BG" w:eastAsia="bg-BG"/>
        </w:rPr>
        <w:t xml:space="preserve"> Преглед на изпълнението на политиките за околната среда </w:t>
      </w:r>
      <w:r w:rsidR="001A3F27" w:rsidRPr="0067300D">
        <w:rPr>
          <w:rFonts w:ascii="Times New Roman" w:hAnsi="Times New Roman" w:cs="Times New Roman"/>
          <w:lang w:val="bg-BG" w:eastAsia="bg-BG"/>
        </w:rPr>
        <w:t xml:space="preserve">от 2019 г. </w:t>
      </w:r>
      <w:r w:rsidRPr="0067300D">
        <w:rPr>
          <w:rFonts w:ascii="Times New Roman" w:hAnsi="Times New Roman" w:cs="Times New Roman"/>
          <w:lang w:val="bg-BG" w:eastAsia="bg-BG"/>
        </w:rPr>
        <w:t xml:space="preserve">се отбелязват следните предизвикателства </w:t>
      </w:r>
      <w:r w:rsidRPr="0067300D">
        <w:rPr>
          <w:rFonts w:ascii="Times New Roman" w:hAnsi="Times New Roman" w:cs="Times New Roman"/>
          <w:lang w:val="bg-BG"/>
        </w:rPr>
        <w:t>при изпълнението на политиката и законодателството на ЕС</w:t>
      </w:r>
      <w:r w:rsidRPr="006C3ADF">
        <w:rPr>
          <w:rFonts w:ascii="Times New Roman" w:hAnsi="Times New Roman" w:cs="Times New Roman"/>
          <w:lang w:val="bg-BG"/>
        </w:rPr>
        <w:t xml:space="preserve">. </w:t>
      </w:r>
    </w:p>
    <w:p w14:paraId="2984535E" w14:textId="21F38975" w:rsidR="00BD246F" w:rsidRPr="0067300D" w:rsidRDefault="00BD246F" w:rsidP="00BD246F">
      <w:pPr>
        <w:pStyle w:val="Caption"/>
        <w:rPr>
          <w:rFonts w:cs="Times New Roman"/>
          <w:i w:val="0"/>
          <w:iCs w:val="0"/>
          <w:sz w:val="22"/>
          <w:szCs w:val="22"/>
        </w:rPr>
      </w:pPr>
      <w:bookmarkStart w:id="9" w:name="_Toc71529867"/>
      <w:bookmarkStart w:id="10" w:name="_Toc73013955"/>
      <w:r w:rsidRPr="0067300D">
        <w:t xml:space="preserve">Фигура </w:t>
      </w:r>
      <w:r w:rsidRPr="0067300D">
        <w:fldChar w:fldCharType="begin"/>
      </w:r>
      <w:r w:rsidRPr="0067300D">
        <w:instrText xml:space="preserve"> SEQ Фигура \* ARABIC </w:instrText>
      </w:r>
      <w:r w:rsidRPr="0067300D">
        <w:fldChar w:fldCharType="separate"/>
      </w:r>
      <w:r w:rsidR="00D9741F">
        <w:rPr>
          <w:noProof/>
        </w:rPr>
        <w:t>3</w:t>
      </w:r>
      <w:r w:rsidRPr="0067300D">
        <w:fldChar w:fldCharType="end"/>
      </w:r>
      <w:r w:rsidRPr="0067300D">
        <w:rPr>
          <w:rFonts w:cs="Times New Roman"/>
        </w:rPr>
        <w:t>:</w:t>
      </w:r>
      <w:r w:rsidRPr="0067300D">
        <w:rPr>
          <w:rFonts w:cs="Times New Roman"/>
          <w:sz w:val="22"/>
          <w:szCs w:val="22"/>
        </w:rPr>
        <w:t xml:space="preserve"> Тенденции и перспективи за сектор </w:t>
      </w:r>
      <w:r w:rsidR="0067300D" w:rsidRPr="0067300D">
        <w:rPr>
          <w:rFonts w:cs="Times New Roman"/>
          <w:sz w:val="22"/>
          <w:szCs w:val="22"/>
        </w:rPr>
        <w:t>Химични вещества</w:t>
      </w:r>
      <w:r w:rsidRPr="0067300D">
        <w:rPr>
          <w:rFonts w:cs="Times New Roman"/>
          <w:sz w:val="22"/>
          <w:szCs w:val="22"/>
        </w:rPr>
        <w:t>, ЕС</w:t>
      </w:r>
      <w:bookmarkEnd w:id="9"/>
      <w:bookmarkEnd w:id="10"/>
      <w:r w:rsidR="001A3F27">
        <w:rPr>
          <w:rFonts w:cs="Times New Roman"/>
          <w:sz w:val="22"/>
          <w:szCs w:val="22"/>
        </w:rPr>
        <w:t xml:space="preserve"> и България</w:t>
      </w:r>
      <w:r w:rsidR="00EE1AAE">
        <w:rPr>
          <w:rStyle w:val="FootnoteReference"/>
          <w:rFonts w:cs="Times New Roman"/>
          <w:sz w:val="22"/>
          <w:szCs w:val="22"/>
        </w:rPr>
        <w:footnoteReference w:id="21"/>
      </w:r>
    </w:p>
    <w:tbl>
      <w:tblPr>
        <w:tblStyle w:val="TableGrid"/>
        <w:tblW w:w="9535" w:type="dxa"/>
        <w:tblLook w:val="04A0" w:firstRow="1" w:lastRow="0" w:firstColumn="1" w:lastColumn="0" w:noHBand="0" w:noVBand="1"/>
      </w:tblPr>
      <w:tblGrid>
        <w:gridCol w:w="3116"/>
        <w:gridCol w:w="3117"/>
        <w:gridCol w:w="3302"/>
      </w:tblGrid>
      <w:tr w:rsidR="00BD246F" w:rsidRPr="0067300D" w14:paraId="5E58D6E4" w14:textId="77777777" w:rsidTr="009B0E7F">
        <w:trPr>
          <w:trHeight w:val="144"/>
        </w:trPr>
        <w:tc>
          <w:tcPr>
            <w:tcW w:w="3116" w:type="dxa"/>
            <w:vMerge w:val="restart"/>
          </w:tcPr>
          <w:p w14:paraId="547F13FD" w14:textId="77777777" w:rsidR="00BD246F" w:rsidRPr="0067300D" w:rsidRDefault="00BD246F" w:rsidP="009B0E7F">
            <w:pPr>
              <w:spacing w:before="120" w:after="120" w:line="264"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Област</w:t>
            </w:r>
          </w:p>
        </w:tc>
        <w:tc>
          <w:tcPr>
            <w:tcW w:w="6419" w:type="dxa"/>
            <w:gridSpan w:val="2"/>
          </w:tcPr>
          <w:p w14:paraId="2A2EBEC2" w14:textId="77777777" w:rsidR="00BD246F" w:rsidRPr="0067300D" w:rsidRDefault="00BD246F" w:rsidP="009B0E7F">
            <w:pPr>
              <w:spacing w:before="120" w:after="120" w:line="264"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Настоящи тенденции и перспективи</w:t>
            </w:r>
          </w:p>
        </w:tc>
      </w:tr>
      <w:tr w:rsidR="00BD246F" w:rsidRPr="0067300D" w14:paraId="011CD0C7" w14:textId="77777777" w:rsidTr="009B0E7F">
        <w:trPr>
          <w:trHeight w:val="144"/>
        </w:trPr>
        <w:tc>
          <w:tcPr>
            <w:tcW w:w="3116" w:type="dxa"/>
            <w:vMerge/>
          </w:tcPr>
          <w:p w14:paraId="1138CE6F" w14:textId="77777777" w:rsidR="00BD246F" w:rsidRPr="0067300D" w:rsidRDefault="00BD246F" w:rsidP="009B0E7F">
            <w:pPr>
              <w:spacing w:before="120" w:after="120" w:line="264" w:lineRule="auto"/>
              <w:jc w:val="both"/>
              <w:rPr>
                <w:rFonts w:ascii="Times New Roman" w:hAnsi="Times New Roman" w:cs="Times New Roman"/>
                <w:sz w:val="20"/>
                <w:szCs w:val="20"/>
                <w:lang w:val="bg-BG"/>
              </w:rPr>
            </w:pPr>
          </w:p>
        </w:tc>
        <w:tc>
          <w:tcPr>
            <w:tcW w:w="3117" w:type="dxa"/>
          </w:tcPr>
          <w:p w14:paraId="4B54377D" w14:textId="77777777" w:rsidR="00BD246F" w:rsidRPr="0067300D" w:rsidRDefault="00BD246F" w:rsidP="009B0E7F">
            <w:pPr>
              <w:spacing w:before="120" w:after="120" w:line="264"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Тенденции през последните 10 – 15 години</w:t>
            </w:r>
          </w:p>
        </w:tc>
        <w:tc>
          <w:tcPr>
            <w:tcW w:w="3302" w:type="dxa"/>
          </w:tcPr>
          <w:p w14:paraId="78E194F7" w14:textId="77777777" w:rsidR="00BD246F" w:rsidRPr="0067300D" w:rsidRDefault="00BD246F" w:rsidP="009B0E7F">
            <w:pPr>
              <w:spacing w:before="120" w:after="120" w:line="264"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Перспективи до 2030 г.</w:t>
            </w:r>
          </w:p>
        </w:tc>
      </w:tr>
      <w:tr w:rsidR="00BD246F" w:rsidRPr="0067300D" w14:paraId="0DCC13C8" w14:textId="77777777" w:rsidTr="009B0E7F">
        <w:trPr>
          <w:trHeight w:val="144"/>
        </w:trPr>
        <w:tc>
          <w:tcPr>
            <w:tcW w:w="3116" w:type="dxa"/>
          </w:tcPr>
          <w:p w14:paraId="49821E4F" w14:textId="77777777" w:rsidR="00BD246F" w:rsidRPr="0067300D" w:rsidRDefault="00BD246F" w:rsidP="009B0E7F">
            <w:pPr>
              <w:spacing w:before="120" w:after="120" w:line="264" w:lineRule="auto"/>
              <w:jc w:val="both"/>
              <w:rPr>
                <w:rFonts w:ascii="Times New Roman" w:hAnsi="Times New Roman" w:cs="Times New Roman"/>
                <w:sz w:val="20"/>
                <w:szCs w:val="20"/>
                <w:lang w:val="bg-BG"/>
              </w:rPr>
            </w:pPr>
            <w:r w:rsidRPr="0067300D">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19D85693" wp14:editId="1B7DF476">
                      <wp:simplePos x="0" y="0"/>
                      <wp:positionH relativeFrom="column">
                        <wp:posOffset>1896110</wp:posOffset>
                      </wp:positionH>
                      <wp:positionV relativeFrom="paragraph">
                        <wp:posOffset>76835</wp:posOffset>
                      </wp:positionV>
                      <wp:extent cx="310515" cy="159385"/>
                      <wp:effectExtent l="0" t="635" r="12700" b="12700"/>
                      <wp:wrapNone/>
                      <wp:docPr id="17" name="Rectangle 17"/>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C000"/>
                              </a:solid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F9692D" id="Rectangle 17" o:spid="_x0000_s1026" style="position:absolute;margin-left:149.3pt;margin-top:6.05pt;width:24.45pt;height:12.55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" fillcolor="#ffc000" strokecolor="#a8d08d [1945]" strokeweight="1pt"/>
                  </w:pict>
                </mc:Fallback>
              </mc:AlternateContent>
            </w:r>
            <w:r w:rsidRPr="0067300D">
              <w:rPr>
                <w:rFonts w:ascii="Times New Roman" w:hAnsi="Times New Roman" w:cs="Times New Roman"/>
                <w:sz w:val="20"/>
                <w:szCs w:val="20"/>
                <w:lang w:val="bg-BG"/>
              </w:rPr>
              <w:t>Емисия на химикали</w:t>
            </w:r>
          </w:p>
        </w:tc>
        <w:tc>
          <w:tcPr>
            <w:tcW w:w="3117" w:type="dxa"/>
          </w:tcPr>
          <w:p w14:paraId="1FD1A980" w14:textId="77777777" w:rsidR="00BD246F" w:rsidRPr="0067300D" w:rsidRDefault="00BD246F" w:rsidP="009B0E7F">
            <w:pPr>
              <w:spacing w:before="120" w:after="120" w:line="264" w:lineRule="auto"/>
              <w:ind w:left="280"/>
              <w:jc w:val="both"/>
              <w:rPr>
                <w:rFonts w:ascii="Times New Roman" w:hAnsi="Times New Roman" w:cs="Times New Roman"/>
                <w:sz w:val="17"/>
                <w:szCs w:val="17"/>
                <w:lang w:val="bg-BG"/>
              </w:rPr>
            </w:pPr>
            <w:r w:rsidRPr="0067300D">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4A18090A" wp14:editId="171FAAFD">
                      <wp:simplePos x="0" y="0"/>
                      <wp:positionH relativeFrom="column">
                        <wp:posOffset>1886585</wp:posOffset>
                      </wp:positionH>
                      <wp:positionV relativeFrom="paragraph">
                        <wp:posOffset>70485</wp:posOffset>
                      </wp:positionV>
                      <wp:extent cx="310515" cy="159385"/>
                      <wp:effectExtent l="0" t="635" r="12700" b="12700"/>
                      <wp:wrapNone/>
                      <wp:docPr id="344" name="Rectangle 344"/>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0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EF50727" id="Rectangle 344" o:spid="_x0000_s1026" style="position:absolute;margin-left:148.55pt;margin-top:5.55pt;width:24.45pt;height:12.55pt;rotation:9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" fillcolor="red" strokecolor="#ffd966 [1943]" strokeweight="1pt"/>
                  </w:pict>
                </mc:Fallback>
              </mc:AlternateContent>
            </w:r>
            <w:r w:rsidRPr="0067300D">
              <w:rPr>
                <w:rFonts w:ascii="Times New Roman" w:hAnsi="Times New Roman" w:cs="Times New Roman"/>
                <w:sz w:val="17"/>
                <w:szCs w:val="17"/>
                <w:lang w:val="bg-BG"/>
              </w:rPr>
              <w:t>Смесени тенденции</w:t>
            </w:r>
          </w:p>
        </w:tc>
        <w:tc>
          <w:tcPr>
            <w:tcW w:w="3302" w:type="dxa"/>
          </w:tcPr>
          <w:p w14:paraId="4960488D" w14:textId="77777777" w:rsidR="00BD246F" w:rsidRPr="0067300D" w:rsidRDefault="00BD246F" w:rsidP="009B0E7F">
            <w:pPr>
              <w:spacing w:before="120" w:after="120" w:line="264" w:lineRule="auto"/>
              <w:ind w:firstLine="310"/>
              <w:jc w:val="both"/>
              <w:rPr>
                <w:rFonts w:ascii="Times New Roman" w:hAnsi="Times New Roman" w:cs="Times New Roman"/>
                <w:sz w:val="20"/>
                <w:szCs w:val="20"/>
                <w:lang w:val="bg-BG"/>
              </w:rPr>
            </w:pPr>
            <w:r w:rsidRPr="0067300D">
              <w:rPr>
                <w:rFonts w:ascii="Times New Roman" w:hAnsi="Times New Roman" w:cs="Times New Roman"/>
                <w:sz w:val="17"/>
                <w:szCs w:val="17"/>
                <w:lang w:val="bg-BG"/>
              </w:rPr>
              <w:t>Доминират тенденции към влошаване</w:t>
            </w:r>
          </w:p>
        </w:tc>
      </w:tr>
      <w:tr w:rsidR="00BD246F" w:rsidRPr="0067300D" w14:paraId="27ECBF7D" w14:textId="77777777" w:rsidTr="009B0E7F">
        <w:trPr>
          <w:trHeight w:val="144"/>
        </w:trPr>
        <w:tc>
          <w:tcPr>
            <w:tcW w:w="3116" w:type="dxa"/>
          </w:tcPr>
          <w:p w14:paraId="691F88DD" w14:textId="77777777" w:rsidR="00BD246F" w:rsidRPr="0067300D" w:rsidRDefault="00BD246F" w:rsidP="009B0E7F">
            <w:pPr>
              <w:spacing w:before="120" w:after="120" w:line="264"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Химическо замърсяване и въздействие върху екосистемата</w:t>
            </w:r>
          </w:p>
        </w:tc>
        <w:tc>
          <w:tcPr>
            <w:tcW w:w="3117" w:type="dxa"/>
          </w:tcPr>
          <w:p w14:paraId="79D282BD" w14:textId="4317B192" w:rsidR="00BD246F" w:rsidRPr="0067300D" w:rsidRDefault="00BD246F" w:rsidP="009B0E7F">
            <w:pPr>
              <w:spacing w:before="120" w:after="120" w:line="264" w:lineRule="auto"/>
              <w:ind w:left="280"/>
              <w:jc w:val="both"/>
              <w:rPr>
                <w:rFonts w:ascii="Times New Roman" w:hAnsi="Times New Roman" w:cs="Times New Roman"/>
                <w:sz w:val="17"/>
                <w:szCs w:val="17"/>
                <w:lang w:val="bg-BG"/>
              </w:rPr>
            </w:pPr>
            <w:r w:rsidRPr="0067300D">
              <w:rPr>
                <w:rFonts w:ascii="Times New Roman" w:hAnsi="Times New Roman" w:cs="Times New Roman"/>
                <w:noProof/>
                <w:sz w:val="20"/>
                <w:szCs w:val="20"/>
              </w:rPr>
              <mc:AlternateContent>
                <mc:Choice Requires="wps">
                  <w:drawing>
                    <wp:anchor distT="0" distB="0" distL="114300" distR="114300" simplePos="0" relativeHeight="251663360" behindDoc="0" locked="0" layoutInCell="1" allowOverlap="1" wp14:anchorId="34EF6408" wp14:editId="5EDD629E">
                      <wp:simplePos x="0" y="0"/>
                      <wp:positionH relativeFrom="column">
                        <wp:posOffset>-87630</wp:posOffset>
                      </wp:positionH>
                      <wp:positionV relativeFrom="paragraph">
                        <wp:posOffset>167005</wp:posOffset>
                      </wp:positionV>
                      <wp:extent cx="310515" cy="159385"/>
                      <wp:effectExtent l="0" t="635" r="12700" b="12700"/>
                      <wp:wrapNone/>
                      <wp:docPr id="345" name="Rectangle 345"/>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C000"/>
                              </a:solidFill>
                              <a:ln w="12700" cap="flat" cmpd="sng" algn="ctr">
                                <a:solidFill>
                                  <a:srgbClr val="FFC000">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CA65F42" id="Rectangle 345" o:spid="_x0000_s1026" style="position:absolute;margin-left:-6.9pt;margin-top:13.15pt;width:24.45pt;height:12.55pt;rotation:9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" fillcolor="#ffc000" strokecolor="#ffd966" strokeweight="1pt"/>
                  </w:pict>
                </mc:Fallback>
              </mc:AlternateContent>
            </w:r>
            <w:r w:rsidRPr="0067300D">
              <w:rPr>
                <w:rFonts w:ascii="Times New Roman" w:hAnsi="Times New Roman" w:cs="Times New Roman"/>
                <w:noProof/>
                <w:sz w:val="20"/>
                <w:szCs w:val="20"/>
              </w:rPr>
              <mc:AlternateContent>
                <mc:Choice Requires="wps">
                  <w:drawing>
                    <wp:anchor distT="0" distB="0" distL="114300" distR="114300" simplePos="0" relativeHeight="251661312" behindDoc="0" locked="0" layoutInCell="1" allowOverlap="1" wp14:anchorId="6E1D2DD3" wp14:editId="7073DD1A">
                      <wp:simplePos x="0" y="0"/>
                      <wp:positionH relativeFrom="column">
                        <wp:posOffset>1886585</wp:posOffset>
                      </wp:positionH>
                      <wp:positionV relativeFrom="paragraph">
                        <wp:posOffset>81915</wp:posOffset>
                      </wp:positionV>
                      <wp:extent cx="310515" cy="159385"/>
                      <wp:effectExtent l="0" t="635" r="12700" b="12700"/>
                      <wp:wrapNone/>
                      <wp:docPr id="25" name="Rectangle 25"/>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0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27E0F04" id="Rectangle 25" o:spid="_x0000_s1026" style="position:absolute;margin-left:148.55pt;margin-top:6.45pt;width:24.45pt;height:12.55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" fillcolor="red" strokecolor="#ffd966 [1943]" strokeweight="1pt"/>
                  </w:pict>
                </mc:Fallback>
              </mc:AlternateContent>
            </w:r>
            <w:r w:rsidR="0067300D" w:rsidRPr="0067300D">
              <w:rPr>
                <w:rFonts w:ascii="Times New Roman" w:hAnsi="Times New Roman" w:cs="Times New Roman"/>
                <w:noProof/>
                <w:sz w:val="20"/>
                <w:szCs w:val="20"/>
                <w:lang w:val="bg-BG"/>
              </w:rPr>
              <w:t>Смесени</w:t>
            </w:r>
            <w:r w:rsidR="0067300D" w:rsidRPr="0067300D">
              <w:rPr>
                <w:rFonts w:ascii="Times New Roman" w:hAnsi="Times New Roman" w:cs="Times New Roman"/>
                <w:noProof/>
                <w:lang w:val="bg-BG"/>
              </w:rPr>
              <w:t xml:space="preserve"> </w:t>
            </w:r>
            <w:r w:rsidR="0067300D" w:rsidRPr="0067300D">
              <w:rPr>
                <w:rFonts w:ascii="Times New Roman" w:hAnsi="Times New Roman" w:cs="Times New Roman"/>
                <w:sz w:val="17"/>
                <w:szCs w:val="17"/>
                <w:lang w:val="bg-BG"/>
              </w:rPr>
              <w:t>тенденции</w:t>
            </w:r>
          </w:p>
        </w:tc>
        <w:tc>
          <w:tcPr>
            <w:tcW w:w="3302" w:type="dxa"/>
          </w:tcPr>
          <w:p w14:paraId="1BEE818D" w14:textId="77777777" w:rsidR="00BD246F" w:rsidRPr="0067300D" w:rsidRDefault="00BD246F" w:rsidP="009B0E7F">
            <w:pPr>
              <w:spacing w:before="120" w:after="120" w:line="264" w:lineRule="auto"/>
              <w:ind w:firstLine="310"/>
              <w:jc w:val="both"/>
              <w:rPr>
                <w:rFonts w:ascii="Times New Roman" w:hAnsi="Times New Roman" w:cs="Times New Roman"/>
                <w:sz w:val="20"/>
                <w:szCs w:val="20"/>
                <w:lang w:val="bg-BG"/>
              </w:rPr>
            </w:pPr>
            <w:r w:rsidRPr="0067300D">
              <w:rPr>
                <w:rFonts w:ascii="Times New Roman" w:hAnsi="Times New Roman" w:cs="Times New Roman"/>
                <w:sz w:val="17"/>
                <w:szCs w:val="17"/>
                <w:lang w:val="bg-BG"/>
              </w:rPr>
              <w:t>Доминират тенденции към влошаване</w:t>
            </w:r>
          </w:p>
        </w:tc>
      </w:tr>
      <w:tr w:rsidR="00BD246F" w:rsidRPr="0067300D" w14:paraId="0F8B32BC" w14:textId="77777777" w:rsidTr="009B0E7F">
        <w:trPr>
          <w:trHeight w:val="144"/>
        </w:trPr>
        <w:tc>
          <w:tcPr>
            <w:tcW w:w="3116" w:type="dxa"/>
          </w:tcPr>
          <w:p w14:paraId="407AD9E7" w14:textId="77777777" w:rsidR="00BD246F" w:rsidRPr="0067300D" w:rsidRDefault="00BD246F" w:rsidP="009B0E7F">
            <w:pPr>
              <w:spacing w:before="120" w:after="120" w:line="264"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Химическо замърсяване и рискове за човешкото здраве</w:t>
            </w:r>
          </w:p>
        </w:tc>
        <w:tc>
          <w:tcPr>
            <w:tcW w:w="3117" w:type="dxa"/>
          </w:tcPr>
          <w:p w14:paraId="4406554D" w14:textId="77777777" w:rsidR="00BD246F" w:rsidRPr="0067300D" w:rsidRDefault="00BD246F" w:rsidP="009B0E7F">
            <w:pPr>
              <w:spacing w:before="120" w:after="120" w:line="264" w:lineRule="auto"/>
              <w:ind w:left="280"/>
              <w:jc w:val="both"/>
              <w:rPr>
                <w:rFonts w:ascii="Times New Roman" w:hAnsi="Times New Roman" w:cs="Times New Roman"/>
                <w:sz w:val="17"/>
                <w:szCs w:val="17"/>
                <w:lang w:val="bg-BG"/>
              </w:rPr>
            </w:pPr>
            <w:r w:rsidRPr="0067300D">
              <w:rPr>
                <w:rFonts w:ascii="Times New Roman" w:hAnsi="Times New Roman" w:cs="Times New Roman"/>
                <w:noProof/>
              </w:rPr>
              <mc:AlternateContent>
                <mc:Choice Requires="wps">
                  <w:drawing>
                    <wp:anchor distT="0" distB="0" distL="114300" distR="114300" simplePos="0" relativeHeight="251664384" behindDoc="0" locked="0" layoutInCell="1" allowOverlap="1" wp14:anchorId="27F62C8D" wp14:editId="2A17EBAD">
                      <wp:simplePos x="0" y="0"/>
                      <wp:positionH relativeFrom="column">
                        <wp:posOffset>-97155</wp:posOffset>
                      </wp:positionH>
                      <wp:positionV relativeFrom="paragraph">
                        <wp:posOffset>133351</wp:posOffset>
                      </wp:positionV>
                      <wp:extent cx="310515" cy="156844"/>
                      <wp:effectExtent l="953" t="0" r="14287" b="14288"/>
                      <wp:wrapNone/>
                      <wp:docPr id="8" name="Rectangle 8"/>
                      <wp:cNvGraphicFramePr/>
                      <a:graphic xmlns:a="http://schemas.openxmlformats.org/drawingml/2006/main">
                        <a:graphicData uri="http://schemas.microsoft.com/office/word/2010/wordprocessingShape">
                          <wps:wsp>
                            <wps:cNvSpPr/>
                            <wps:spPr>
                              <a:xfrm rot="5400000">
                                <a:off x="0" y="0"/>
                                <a:ext cx="310515" cy="156844"/>
                              </a:xfrm>
                              <a:prstGeom prst="rect">
                                <a:avLst/>
                              </a:prstGeom>
                              <a:solidFill>
                                <a:srgbClr val="FFC000"/>
                              </a:solidFill>
                              <a:ln w="12700" cap="flat" cmpd="sng" algn="ctr">
                                <a:solidFill>
                                  <a:srgbClr val="FFC000">
                                    <a:lumMod val="60000"/>
                                    <a:lumOff val="4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E8953E" id="Rectangle 8" o:spid="_x0000_s1026" style="position:absolute;margin-left:-7.65pt;margin-top:10.5pt;width:24.45pt;height:12.35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" fillcolor="#ffc000" strokecolor="#ffd966" strokeweight="1pt"/>
                  </w:pict>
                </mc:Fallback>
              </mc:AlternateContent>
            </w:r>
            <w:r w:rsidRPr="0067300D">
              <w:rPr>
                <w:rFonts w:ascii="Times New Roman" w:hAnsi="Times New Roman" w:cs="Times New Roman"/>
                <w:noProof/>
              </w:rPr>
              <mc:AlternateContent>
                <mc:Choice Requires="wps">
                  <w:drawing>
                    <wp:anchor distT="0" distB="0" distL="114300" distR="114300" simplePos="0" relativeHeight="251662336" behindDoc="0" locked="0" layoutInCell="1" allowOverlap="1" wp14:anchorId="72B90624" wp14:editId="3F2D790E">
                      <wp:simplePos x="0" y="0"/>
                      <wp:positionH relativeFrom="column">
                        <wp:posOffset>1886585</wp:posOffset>
                      </wp:positionH>
                      <wp:positionV relativeFrom="paragraph">
                        <wp:posOffset>93345</wp:posOffset>
                      </wp:positionV>
                      <wp:extent cx="310515" cy="159385"/>
                      <wp:effectExtent l="0" t="635" r="12700" b="12700"/>
                      <wp:wrapNone/>
                      <wp:docPr id="346" name="Rectangle 346"/>
                      <wp:cNvGraphicFramePr/>
                      <a:graphic xmlns:a="http://schemas.openxmlformats.org/drawingml/2006/main">
                        <a:graphicData uri="http://schemas.microsoft.com/office/word/2010/wordprocessingShape">
                          <wps:wsp>
                            <wps:cNvSpPr/>
                            <wps:spPr>
                              <a:xfrm rot="5400000">
                                <a:off x="0" y="0"/>
                                <a:ext cx="310515" cy="159385"/>
                              </a:xfrm>
                              <a:prstGeom prst="rect">
                                <a:avLst/>
                              </a:prstGeom>
                              <a:solidFill>
                                <a:srgbClr val="FF0000"/>
                              </a:solidFill>
                              <a:ln>
                                <a:solidFill>
                                  <a:schemeClr val="accent4">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8565E0" id="Rectangle 346" o:spid="_x0000_s1026" style="position:absolute;margin-left:148.55pt;margin-top:7.35pt;width:24.45pt;height:12.55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" fillcolor="red" strokecolor="#ffd966 [1943]" strokeweight="1pt"/>
                  </w:pict>
                </mc:Fallback>
              </mc:AlternateContent>
            </w:r>
            <w:r w:rsidRPr="0067300D">
              <w:rPr>
                <w:rFonts w:ascii="Times New Roman" w:hAnsi="Times New Roman" w:cs="Times New Roman"/>
                <w:sz w:val="17"/>
                <w:szCs w:val="17"/>
                <w:lang w:val="bg-BG"/>
              </w:rPr>
              <w:t>Смесени тенденции</w:t>
            </w:r>
          </w:p>
        </w:tc>
        <w:tc>
          <w:tcPr>
            <w:tcW w:w="3302" w:type="dxa"/>
          </w:tcPr>
          <w:p w14:paraId="42033168" w14:textId="77777777" w:rsidR="00BD246F" w:rsidRPr="0067300D" w:rsidRDefault="00BD246F" w:rsidP="009B0E7F">
            <w:pPr>
              <w:spacing w:before="120" w:after="120" w:line="264" w:lineRule="auto"/>
              <w:ind w:firstLine="310"/>
              <w:jc w:val="both"/>
              <w:rPr>
                <w:rFonts w:ascii="Times New Roman" w:hAnsi="Times New Roman" w:cs="Times New Roman"/>
                <w:sz w:val="20"/>
                <w:szCs w:val="20"/>
                <w:lang w:val="bg-BG"/>
              </w:rPr>
            </w:pPr>
            <w:r w:rsidRPr="0067300D">
              <w:rPr>
                <w:rFonts w:ascii="Times New Roman" w:hAnsi="Times New Roman" w:cs="Times New Roman"/>
                <w:sz w:val="17"/>
                <w:szCs w:val="17"/>
                <w:lang w:val="bg-BG"/>
              </w:rPr>
              <w:t>Доминират тенденции към влошаване</w:t>
            </w:r>
          </w:p>
        </w:tc>
      </w:tr>
    </w:tbl>
    <w:p w14:paraId="4F3AEF25" w14:textId="77777777" w:rsidR="00BD246F" w:rsidRPr="0067300D" w:rsidRDefault="00BD246F" w:rsidP="00BD246F">
      <w:pPr>
        <w:spacing w:after="120" w:line="276" w:lineRule="auto"/>
        <w:jc w:val="both"/>
        <w:rPr>
          <w:rFonts w:ascii="Times New Roman" w:hAnsi="Times New Roman" w:cs="Times New Roman"/>
          <w:i/>
          <w:iCs/>
          <w:lang w:val="bg-BG"/>
        </w:rPr>
      </w:pPr>
    </w:p>
    <w:p w14:paraId="22F547F1" w14:textId="78E75713" w:rsidR="00BD246F" w:rsidRPr="0067300D" w:rsidRDefault="00BD246F" w:rsidP="00BD246F">
      <w:pPr>
        <w:pStyle w:val="Caption"/>
        <w:rPr>
          <w:rFonts w:cs="Times New Roman"/>
          <w:i w:val="0"/>
          <w:iCs w:val="0"/>
        </w:rPr>
      </w:pPr>
      <w:bookmarkStart w:id="11" w:name="_Toc71529868"/>
      <w:bookmarkStart w:id="12" w:name="_Toc73013956"/>
      <w:r w:rsidRPr="0067300D">
        <w:t xml:space="preserve">Фигура </w:t>
      </w:r>
      <w:r w:rsidRPr="0067300D">
        <w:fldChar w:fldCharType="begin"/>
      </w:r>
      <w:r w:rsidRPr="0067300D">
        <w:instrText xml:space="preserve"> SEQ Фигура \* ARABIC </w:instrText>
      </w:r>
      <w:r w:rsidRPr="0067300D">
        <w:fldChar w:fldCharType="separate"/>
      </w:r>
      <w:r w:rsidR="00D9741F">
        <w:rPr>
          <w:noProof/>
        </w:rPr>
        <w:t>4</w:t>
      </w:r>
      <w:r w:rsidRPr="0067300D">
        <w:fldChar w:fldCharType="end"/>
      </w:r>
      <w:r w:rsidRPr="0067300D">
        <w:rPr>
          <w:rFonts w:cs="Times New Roman"/>
        </w:rPr>
        <w:t xml:space="preserve">: Тенденции и перспективи за сектор </w:t>
      </w:r>
      <w:r w:rsidR="0067300D" w:rsidRPr="0067300D">
        <w:rPr>
          <w:rFonts w:cs="Times New Roman"/>
        </w:rPr>
        <w:t>химични вещества</w:t>
      </w:r>
      <w:r w:rsidRPr="0067300D">
        <w:rPr>
          <w:rFonts w:cs="Times New Roman"/>
        </w:rPr>
        <w:t>, България</w:t>
      </w:r>
      <w:bookmarkEnd w:id="11"/>
      <w:bookmarkEnd w:id="12"/>
    </w:p>
    <w:tbl>
      <w:tblPr>
        <w:tblStyle w:val="TableGrid"/>
        <w:tblW w:w="0" w:type="auto"/>
        <w:tblLook w:val="04A0" w:firstRow="1" w:lastRow="0" w:firstColumn="1" w:lastColumn="0" w:noHBand="0" w:noVBand="1"/>
      </w:tblPr>
      <w:tblGrid>
        <w:gridCol w:w="2335"/>
        <w:gridCol w:w="360"/>
        <w:gridCol w:w="6655"/>
      </w:tblGrid>
      <w:tr w:rsidR="00BD246F" w:rsidRPr="0067300D" w14:paraId="401F588E" w14:textId="77777777" w:rsidTr="009B0E7F">
        <w:tc>
          <w:tcPr>
            <w:tcW w:w="9350" w:type="dxa"/>
            <w:gridSpan w:val="3"/>
          </w:tcPr>
          <w:p w14:paraId="36D5B8CD" w14:textId="77777777"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Емисии на химикали</w:t>
            </w:r>
          </w:p>
        </w:tc>
      </w:tr>
      <w:tr w:rsidR="00BD246F" w:rsidRPr="004575FB" w14:paraId="7EA54544" w14:textId="77777777" w:rsidTr="009B0E7F">
        <w:tc>
          <w:tcPr>
            <w:tcW w:w="2335" w:type="dxa"/>
          </w:tcPr>
          <w:p w14:paraId="0D950F63" w14:textId="0EBDFF22"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Тенденции през последните 10</w:t>
            </w:r>
            <w:r w:rsidR="0067300D" w:rsidRPr="0067300D">
              <w:rPr>
                <w:rFonts w:ascii="Times New Roman" w:hAnsi="Times New Roman" w:cs="Times New Roman"/>
                <w:sz w:val="20"/>
                <w:szCs w:val="20"/>
                <w:lang w:val="bg-BG"/>
              </w:rPr>
              <w:t xml:space="preserve"> -</w:t>
            </w:r>
            <w:r w:rsidRPr="0067300D">
              <w:rPr>
                <w:rFonts w:ascii="Times New Roman" w:hAnsi="Times New Roman" w:cs="Times New Roman"/>
                <w:sz w:val="20"/>
                <w:szCs w:val="20"/>
                <w:lang w:val="bg-BG"/>
              </w:rPr>
              <w:t xml:space="preserve"> 15 години</w:t>
            </w:r>
          </w:p>
          <w:p w14:paraId="2A7C0D9A" w14:textId="77777777" w:rsidR="00BD246F" w:rsidRPr="0067300D" w:rsidRDefault="00BD246F" w:rsidP="009B0E7F">
            <w:pPr>
              <w:spacing w:after="120" w:line="276" w:lineRule="auto"/>
              <w:jc w:val="both"/>
              <w:rPr>
                <w:rFonts w:ascii="Times New Roman" w:hAnsi="Times New Roman" w:cs="Times New Roman"/>
                <w:sz w:val="4"/>
                <w:szCs w:val="4"/>
                <w:lang w:val="bg-BG"/>
              </w:rPr>
            </w:pPr>
          </w:p>
        </w:tc>
        <w:tc>
          <w:tcPr>
            <w:tcW w:w="360" w:type="dxa"/>
            <w:shd w:val="clear" w:color="auto" w:fill="FFC000"/>
          </w:tcPr>
          <w:p w14:paraId="74228F1B" w14:textId="77777777" w:rsidR="00BD246F" w:rsidRPr="0067300D" w:rsidRDefault="00BD246F" w:rsidP="009B0E7F">
            <w:pPr>
              <w:spacing w:after="120" w:line="276" w:lineRule="auto"/>
              <w:jc w:val="both"/>
              <w:rPr>
                <w:rFonts w:ascii="Times New Roman" w:hAnsi="Times New Roman" w:cs="Times New Roman"/>
                <w:sz w:val="20"/>
                <w:szCs w:val="20"/>
                <w:lang w:val="bg-BG"/>
              </w:rPr>
            </w:pPr>
          </w:p>
        </w:tc>
        <w:tc>
          <w:tcPr>
            <w:tcW w:w="6655" w:type="dxa"/>
          </w:tcPr>
          <w:p w14:paraId="02796025" w14:textId="77777777" w:rsidR="0065779A" w:rsidRPr="004575FB" w:rsidRDefault="0065779A" w:rsidP="0065779A">
            <w:pPr>
              <w:spacing w:after="120" w:line="276" w:lineRule="auto"/>
              <w:jc w:val="both"/>
              <w:rPr>
                <w:rFonts w:ascii="Times New Roman" w:hAnsi="Times New Roman"/>
                <w:b/>
                <w:bCs/>
                <w:color w:val="FFC000"/>
                <w:sz w:val="20"/>
                <w:szCs w:val="20"/>
                <w:lang w:val="ru-RU"/>
              </w:rPr>
            </w:pPr>
            <w:r w:rsidRPr="004575FB">
              <w:rPr>
                <w:rFonts w:ascii="Times New Roman" w:hAnsi="Times New Roman"/>
                <w:b/>
                <w:bCs/>
                <w:color w:val="FFC000"/>
                <w:sz w:val="20"/>
                <w:szCs w:val="20"/>
                <w:lang w:val="ru-RU"/>
              </w:rPr>
              <w:t xml:space="preserve">Тенденциите / промените към подобрение преобладават </w:t>
            </w:r>
          </w:p>
          <w:p w14:paraId="58383064" w14:textId="1AAF16C9" w:rsidR="00BD246F" w:rsidRPr="0067300D" w:rsidRDefault="00BD246F" w:rsidP="009B0E7F">
            <w:pPr>
              <w:spacing w:line="276" w:lineRule="auto"/>
              <w:jc w:val="both"/>
              <w:rPr>
                <w:rFonts w:ascii="Times New Roman" w:hAnsi="Times New Roman" w:cs="Times New Roman"/>
                <w:sz w:val="20"/>
                <w:szCs w:val="20"/>
                <w:lang w:val="bg-BG"/>
              </w:rPr>
            </w:pPr>
            <w:r w:rsidRPr="0067300D">
              <w:rPr>
                <w:rStyle w:val="jlqj4b"/>
                <w:rFonts w:ascii="Times New Roman" w:hAnsi="Times New Roman" w:cs="Times New Roman"/>
                <w:sz w:val="20"/>
                <w:szCs w:val="20"/>
                <w:lang w:val="bg-BG"/>
              </w:rPr>
              <w:t>Тенденциите са смесени. Емисиите във въздуха на няколко добре познати, регулирани, устойчиви и опасни хими</w:t>
            </w:r>
            <w:r w:rsidR="0065779A">
              <w:rPr>
                <w:rStyle w:val="jlqj4b"/>
                <w:rFonts w:ascii="Times New Roman" w:hAnsi="Times New Roman" w:cs="Times New Roman"/>
                <w:sz w:val="20"/>
                <w:szCs w:val="20"/>
                <w:lang w:val="bg-BG"/>
              </w:rPr>
              <w:t xml:space="preserve">чни вещества </w:t>
            </w:r>
            <w:r w:rsidRPr="0067300D">
              <w:rPr>
                <w:rStyle w:val="jlqj4b"/>
                <w:rFonts w:ascii="Times New Roman" w:hAnsi="Times New Roman" w:cs="Times New Roman"/>
                <w:sz w:val="20"/>
                <w:szCs w:val="20"/>
                <w:lang w:val="bg-BG"/>
              </w:rPr>
              <w:t>(напр. Много вещества, които будят безпокойство - полихлорирани бифенили (ПХБ), хексахлорбензол, живак) са намалели, докато емисиите във вода от някои хлорни и органични химикали от промишлени инсталации и пречиствателни станции остават доста стабилни.</w:t>
            </w:r>
            <w:r w:rsidRPr="0067300D">
              <w:rPr>
                <w:rStyle w:val="viiyi"/>
                <w:rFonts w:ascii="Times New Roman" w:hAnsi="Times New Roman" w:cs="Times New Roman"/>
                <w:sz w:val="20"/>
                <w:szCs w:val="20"/>
                <w:lang w:val="bg-BG"/>
              </w:rPr>
              <w:t xml:space="preserve"> </w:t>
            </w:r>
            <w:r w:rsidRPr="0067300D">
              <w:rPr>
                <w:rStyle w:val="jlqj4b"/>
                <w:rFonts w:ascii="Times New Roman" w:hAnsi="Times New Roman" w:cs="Times New Roman"/>
                <w:sz w:val="20"/>
                <w:szCs w:val="20"/>
                <w:lang w:val="bg-BG"/>
              </w:rPr>
              <w:t>По-голямата част от емитираните химикали обаче не подлежат на мониторинг, включително над 2 500 устойчиви и подвижни химикали</w:t>
            </w:r>
          </w:p>
        </w:tc>
      </w:tr>
      <w:tr w:rsidR="00BD246F" w:rsidRPr="004575FB" w14:paraId="39ECFC58" w14:textId="77777777" w:rsidTr="009B0E7F">
        <w:tc>
          <w:tcPr>
            <w:tcW w:w="2335" w:type="dxa"/>
          </w:tcPr>
          <w:p w14:paraId="255F32D9" w14:textId="77777777"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Перспективи за 2030 г.</w:t>
            </w:r>
          </w:p>
          <w:p w14:paraId="502E6D19" w14:textId="77777777" w:rsidR="00BD246F" w:rsidRPr="0067300D" w:rsidRDefault="00BD246F" w:rsidP="009B0E7F">
            <w:pPr>
              <w:spacing w:after="120" w:line="276" w:lineRule="auto"/>
              <w:jc w:val="both"/>
              <w:rPr>
                <w:rFonts w:ascii="Times New Roman" w:hAnsi="Times New Roman" w:cs="Times New Roman"/>
                <w:sz w:val="4"/>
                <w:szCs w:val="4"/>
                <w:lang w:val="bg-BG"/>
              </w:rPr>
            </w:pPr>
          </w:p>
        </w:tc>
        <w:tc>
          <w:tcPr>
            <w:tcW w:w="360" w:type="dxa"/>
            <w:shd w:val="clear" w:color="auto" w:fill="FF0000"/>
          </w:tcPr>
          <w:p w14:paraId="201C2FC0" w14:textId="77777777" w:rsidR="00BD246F" w:rsidRPr="0067300D" w:rsidRDefault="00BD246F" w:rsidP="009B0E7F">
            <w:pPr>
              <w:spacing w:after="120" w:line="276" w:lineRule="auto"/>
              <w:jc w:val="both"/>
              <w:rPr>
                <w:rFonts w:ascii="Times New Roman" w:hAnsi="Times New Roman" w:cs="Times New Roman"/>
                <w:sz w:val="20"/>
                <w:szCs w:val="20"/>
                <w:lang w:val="bg-BG"/>
              </w:rPr>
            </w:pPr>
          </w:p>
        </w:tc>
        <w:tc>
          <w:tcPr>
            <w:tcW w:w="6655" w:type="dxa"/>
          </w:tcPr>
          <w:p w14:paraId="7A83BABB" w14:textId="77777777" w:rsidR="0065779A" w:rsidRPr="004575FB" w:rsidRDefault="0065779A" w:rsidP="0065779A">
            <w:pPr>
              <w:spacing w:after="120" w:line="276" w:lineRule="auto"/>
              <w:jc w:val="both"/>
              <w:rPr>
                <w:rFonts w:ascii="Times New Roman" w:hAnsi="Times New Roman"/>
                <w:b/>
                <w:bCs/>
                <w:color w:val="C00000"/>
                <w:sz w:val="20"/>
                <w:szCs w:val="20"/>
                <w:lang w:val="ru-RU"/>
              </w:rPr>
            </w:pPr>
            <w:r w:rsidRPr="004575FB">
              <w:rPr>
                <w:rFonts w:ascii="Times New Roman" w:hAnsi="Times New Roman"/>
                <w:b/>
                <w:bCs/>
                <w:color w:val="C00000"/>
                <w:sz w:val="20"/>
                <w:szCs w:val="20"/>
                <w:lang w:val="ru-RU"/>
              </w:rPr>
              <w:t xml:space="preserve">Тенденциите / промените към влошаване преобладават </w:t>
            </w:r>
          </w:p>
          <w:p w14:paraId="7460A027" w14:textId="26C488CD" w:rsidR="00BD246F" w:rsidRPr="0065779A" w:rsidRDefault="00BD246F" w:rsidP="009B0E7F">
            <w:pPr>
              <w:spacing w:after="120" w:line="276" w:lineRule="auto"/>
              <w:jc w:val="both"/>
              <w:rPr>
                <w:rFonts w:ascii="Times New Roman" w:hAnsi="Times New Roman" w:cs="Times New Roman"/>
                <w:sz w:val="20"/>
                <w:szCs w:val="20"/>
                <w:lang w:val="bg-BG"/>
              </w:rPr>
            </w:pPr>
            <w:r w:rsidRPr="0065779A">
              <w:rPr>
                <w:rStyle w:val="jlqj4b"/>
                <w:rFonts w:ascii="Times New Roman" w:hAnsi="Times New Roman" w:cs="Times New Roman"/>
                <w:sz w:val="20"/>
                <w:szCs w:val="20"/>
                <w:lang w:val="bg-BG"/>
              </w:rPr>
              <w:t>Очаква се непрекъснат напредък по отношение на</w:t>
            </w:r>
            <w:r w:rsidR="0065779A" w:rsidRPr="0065779A">
              <w:rPr>
                <w:rStyle w:val="jlqj4b"/>
                <w:rFonts w:ascii="Times New Roman" w:hAnsi="Times New Roman" w:cs="Times New Roman"/>
                <w:sz w:val="20"/>
                <w:szCs w:val="20"/>
                <w:lang w:val="bg-BG"/>
              </w:rPr>
              <w:t>м</w:t>
            </w:r>
            <w:r w:rsidR="0065779A" w:rsidRPr="0065779A">
              <w:rPr>
                <w:rStyle w:val="jlqj4b"/>
                <w:rFonts w:ascii="Times New Roman" w:hAnsi="Times New Roman" w:cs="Times New Roman"/>
                <w:lang w:val="bg-BG"/>
              </w:rPr>
              <w:t>аляването на</w:t>
            </w:r>
            <w:r w:rsidRPr="0065779A">
              <w:rPr>
                <w:rStyle w:val="jlqj4b"/>
                <w:rFonts w:ascii="Times New Roman" w:hAnsi="Times New Roman" w:cs="Times New Roman"/>
                <w:sz w:val="20"/>
                <w:szCs w:val="20"/>
                <w:lang w:val="bg-BG"/>
              </w:rPr>
              <w:t xml:space="preserve"> емисиите на </w:t>
            </w:r>
            <w:r w:rsidR="0065779A" w:rsidRPr="0065779A">
              <w:rPr>
                <w:rStyle w:val="jlqj4b"/>
                <w:rFonts w:ascii="Times New Roman" w:hAnsi="Times New Roman" w:cs="Times New Roman"/>
                <w:sz w:val="20"/>
                <w:szCs w:val="20"/>
                <w:lang w:val="bg-BG"/>
              </w:rPr>
              <w:t>н</w:t>
            </w:r>
            <w:r w:rsidR="0065779A" w:rsidRPr="0065779A">
              <w:rPr>
                <w:rStyle w:val="jlqj4b"/>
                <w:rFonts w:ascii="Times New Roman" w:hAnsi="Times New Roman" w:cs="Times New Roman"/>
                <w:lang w:val="bg-BG"/>
              </w:rPr>
              <w:t>якои химикали</w:t>
            </w:r>
            <w:r w:rsidRPr="0065779A">
              <w:rPr>
                <w:rStyle w:val="jlqj4b"/>
                <w:rFonts w:ascii="Times New Roman" w:hAnsi="Times New Roman" w:cs="Times New Roman"/>
                <w:sz w:val="20"/>
                <w:szCs w:val="20"/>
                <w:lang w:val="bg-BG"/>
              </w:rPr>
              <w:t>, които са били забранени или ограничени за употреба, напр.</w:t>
            </w:r>
            <w:r w:rsidRPr="0065779A">
              <w:rPr>
                <w:rStyle w:val="viiyi"/>
                <w:rFonts w:ascii="Times New Roman" w:hAnsi="Times New Roman" w:cs="Times New Roman"/>
                <w:sz w:val="20"/>
                <w:szCs w:val="20"/>
                <w:lang w:val="bg-BG"/>
              </w:rPr>
              <w:t xml:space="preserve"> </w:t>
            </w:r>
            <w:r w:rsidRPr="0065779A">
              <w:rPr>
                <w:rStyle w:val="jlqj4b"/>
                <w:rFonts w:ascii="Times New Roman" w:hAnsi="Times New Roman" w:cs="Times New Roman"/>
                <w:sz w:val="20"/>
                <w:szCs w:val="20"/>
                <w:lang w:val="bg-BG"/>
              </w:rPr>
              <w:t>някои пестициди.</w:t>
            </w:r>
            <w:r w:rsidRPr="0065779A">
              <w:rPr>
                <w:rStyle w:val="viiyi"/>
                <w:rFonts w:ascii="Times New Roman" w:hAnsi="Times New Roman" w:cs="Times New Roman"/>
                <w:sz w:val="20"/>
                <w:szCs w:val="20"/>
                <w:lang w:val="bg-BG"/>
              </w:rPr>
              <w:t xml:space="preserve"> </w:t>
            </w:r>
            <w:r w:rsidRPr="0065779A">
              <w:rPr>
                <w:rStyle w:val="jlqj4b"/>
                <w:rFonts w:ascii="Times New Roman" w:hAnsi="Times New Roman" w:cs="Times New Roman"/>
                <w:sz w:val="20"/>
                <w:szCs w:val="20"/>
                <w:lang w:val="bg-BG"/>
              </w:rPr>
              <w:t>Въпреки това, дори намалените емисии все пак ще допринесат за по-нататъшното натрупване на устойчиви химикали в околната среда, а това е предизвикателство по отношение на екологосъобразно управление на химикалите през целия им жизнен цикъл.</w:t>
            </w:r>
            <w:r w:rsidRPr="0065779A">
              <w:rPr>
                <w:rStyle w:val="viiyi"/>
                <w:rFonts w:ascii="Times New Roman" w:hAnsi="Times New Roman" w:cs="Times New Roman"/>
                <w:sz w:val="20"/>
                <w:szCs w:val="20"/>
                <w:lang w:val="bg-BG"/>
              </w:rPr>
              <w:t xml:space="preserve"> </w:t>
            </w:r>
            <w:r w:rsidRPr="0065779A">
              <w:rPr>
                <w:rStyle w:val="jlqj4b"/>
                <w:rFonts w:ascii="Times New Roman" w:hAnsi="Times New Roman" w:cs="Times New Roman"/>
                <w:sz w:val="20"/>
                <w:szCs w:val="20"/>
                <w:lang w:val="bg-BG"/>
              </w:rPr>
              <w:t>Политиките, регулиращи емисиите на химикали, изостават от предизвикателството да се справят с голямото количество химикали с неизвестна съдба и свойства.</w:t>
            </w:r>
          </w:p>
        </w:tc>
      </w:tr>
    </w:tbl>
    <w:p w14:paraId="53997F54" w14:textId="77777777" w:rsidR="00BD246F" w:rsidRPr="0067300D" w:rsidRDefault="00BD246F" w:rsidP="00BD246F">
      <w:pPr>
        <w:spacing w:after="120" w:line="276" w:lineRule="auto"/>
        <w:jc w:val="both"/>
        <w:rPr>
          <w:rFonts w:ascii="Times New Roman" w:hAnsi="Times New Roman" w:cs="Times New Roman"/>
          <w:sz w:val="24"/>
          <w:szCs w:val="24"/>
          <w:lang w:val="bg-BG"/>
        </w:rPr>
      </w:pPr>
    </w:p>
    <w:tbl>
      <w:tblPr>
        <w:tblStyle w:val="TableGrid"/>
        <w:tblW w:w="0" w:type="auto"/>
        <w:tblLook w:val="04A0" w:firstRow="1" w:lastRow="0" w:firstColumn="1" w:lastColumn="0" w:noHBand="0" w:noVBand="1"/>
      </w:tblPr>
      <w:tblGrid>
        <w:gridCol w:w="2335"/>
        <w:gridCol w:w="360"/>
        <w:gridCol w:w="6655"/>
      </w:tblGrid>
      <w:tr w:rsidR="00BD246F" w:rsidRPr="004575FB" w14:paraId="72F1E833" w14:textId="77777777" w:rsidTr="009B0E7F">
        <w:tc>
          <w:tcPr>
            <w:tcW w:w="9350" w:type="dxa"/>
            <w:gridSpan w:val="3"/>
          </w:tcPr>
          <w:p w14:paraId="42B69EAB" w14:textId="77777777"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Химическо замърсяване и въздействие върху екосистемите</w:t>
            </w:r>
          </w:p>
        </w:tc>
      </w:tr>
      <w:tr w:rsidR="00BD246F" w:rsidRPr="004575FB" w14:paraId="0DAF2C0B" w14:textId="77777777" w:rsidTr="009B0E7F">
        <w:tc>
          <w:tcPr>
            <w:tcW w:w="2335" w:type="dxa"/>
          </w:tcPr>
          <w:p w14:paraId="4565E3D0" w14:textId="77777777"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Тенденции през последните 10-15 години</w:t>
            </w:r>
          </w:p>
          <w:p w14:paraId="70E182FE" w14:textId="77777777" w:rsidR="00BD246F" w:rsidRPr="0067300D" w:rsidRDefault="00BD246F" w:rsidP="009B0E7F">
            <w:pPr>
              <w:spacing w:after="120" w:line="276" w:lineRule="auto"/>
              <w:jc w:val="both"/>
              <w:rPr>
                <w:rFonts w:ascii="Times New Roman" w:hAnsi="Times New Roman" w:cs="Times New Roman"/>
                <w:sz w:val="4"/>
                <w:szCs w:val="4"/>
                <w:lang w:val="bg-BG"/>
              </w:rPr>
            </w:pPr>
          </w:p>
        </w:tc>
        <w:tc>
          <w:tcPr>
            <w:tcW w:w="360" w:type="dxa"/>
            <w:shd w:val="clear" w:color="auto" w:fill="FFC000"/>
          </w:tcPr>
          <w:p w14:paraId="166B41B6" w14:textId="77777777" w:rsidR="00BD246F" w:rsidRPr="0067300D" w:rsidRDefault="00BD246F" w:rsidP="009B0E7F">
            <w:pPr>
              <w:spacing w:after="120" w:line="276" w:lineRule="auto"/>
              <w:jc w:val="both"/>
              <w:rPr>
                <w:rFonts w:ascii="Times New Roman" w:hAnsi="Times New Roman" w:cs="Times New Roman"/>
                <w:sz w:val="20"/>
                <w:szCs w:val="20"/>
                <w:lang w:val="bg-BG"/>
              </w:rPr>
            </w:pPr>
          </w:p>
        </w:tc>
        <w:tc>
          <w:tcPr>
            <w:tcW w:w="6655" w:type="dxa"/>
          </w:tcPr>
          <w:p w14:paraId="14651433" w14:textId="77777777" w:rsidR="0065779A" w:rsidRPr="004575FB" w:rsidRDefault="0065779A" w:rsidP="0065779A">
            <w:pPr>
              <w:spacing w:after="120" w:line="276" w:lineRule="auto"/>
              <w:jc w:val="both"/>
              <w:rPr>
                <w:rFonts w:ascii="Times New Roman" w:hAnsi="Times New Roman"/>
                <w:b/>
                <w:bCs/>
                <w:color w:val="FFC000"/>
                <w:sz w:val="20"/>
                <w:szCs w:val="20"/>
                <w:lang w:val="ru-RU"/>
              </w:rPr>
            </w:pPr>
            <w:r w:rsidRPr="004575FB">
              <w:rPr>
                <w:rFonts w:ascii="Times New Roman" w:hAnsi="Times New Roman"/>
                <w:b/>
                <w:bCs/>
                <w:color w:val="FFC000"/>
                <w:sz w:val="20"/>
                <w:szCs w:val="20"/>
                <w:lang w:val="ru-RU"/>
              </w:rPr>
              <w:t xml:space="preserve">Тенденциите / промените към подобрение преобладават </w:t>
            </w:r>
          </w:p>
          <w:p w14:paraId="32EB7333" w14:textId="77777777" w:rsidR="00BD246F" w:rsidRPr="0067300D" w:rsidRDefault="00BD246F" w:rsidP="009B0E7F">
            <w:pPr>
              <w:spacing w:line="276" w:lineRule="auto"/>
              <w:jc w:val="both"/>
              <w:rPr>
                <w:rFonts w:ascii="Times New Roman" w:hAnsi="Times New Roman" w:cs="Times New Roman"/>
                <w:sz w:val="20"/>
                <w:szCs w:val="20"/>
                <w:lang w:val="bg-BG"/>
              </w:rPr>
            </w:pPr>
            <w:r w:rsidRPr="0067300D">
              <w:rPr>
                <w:rStyle w:val="jlqj4b"/>
                <w:rFonts w:ascii="Times New Roman" w:hAnsi="Times New Roman" w:cs="Times New Roman"/>
                <w:sz w:val="20"/>
                <w:szCs w:val="20"/>
                <w:lang w:val="bg-BG"/>
              </w:rPr>
              <w:t>Появата на някои отделни вещества и свързаното с тях въздействие върху екосистемите е намаляла.</w:t>
            </w:r>
            <w:r w:rsidRPr="0067300D">
              <w:rPr>
                <w:rStyle w:val="viiyi"/>
                <w:rFonts w:ascii="Times New Roman" w:hAnsi="Times New Roman" w:cs="Times New Roman"/>
                <w:sz w:val="20"/>
                <w:szCs w:val="20"/>
                <w:lang w:val="bg-BG"/>
              </w:rPr>
              <w:t xml:space="preserve"> </w:t>
            </w:r>
            <w:r w:rsidRPr="0067300D">
              <w:rPr>
                <w:rStyle w:val="jlqj4b"/>
                <w:rFonts w:ascii="Times New Roman" w:hAnsi="Times New Roman" w:cs="Times New Roman"/>
                <w:sz w:val="20"/>
                <w:szCs w:val="20"/>
                <w:lang w:val="bg-BG"/>
              </w:rPr>
              <w:t>Ефектите на повечето химикали върху околната среда обаче не са оценени и много от тях вероятно ще окажат значително въздействие върху биологичното разнообразие и екосистемите</w:t>
            </w:r>
          </w:p>
        </w:tc>
      </w:tr>
      <w:tr w:rsidR="00BD246F" w:rsidRPr="004575FB" w14:paraId="2C759E65" w14:textId="77777777" w:rsidTr="009B0E7F">
        <w:tc>
          <w:tcPr>
            <w:tcW w:w="2335" w:type="dxa"/>
          </w:tcPr>
          <w:p w14:paraId="14396489" w14:textId="77777777"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Перспективи за 2030 г.</w:t>
            </w:r>
          </w:p>
          <w:p w14:paraId="78D29AA2" w14:textId="77777777" w:rsidR="00BD246F" w:rsidRPr="0067300D" w:rsidRDefault="00BD246F" w:rsidP="009B0E7F">
            <w:pPr>
              <w:spacing w:after="120" w:line="276" w:lineRule="auto"/>
              <w:jc w:val="both"/>
              <w:rPr>
                <w:rFonts w:ascii="Times New Roman" w:hAnsi="Times New Roman" w:cs="Times New Roman"/>
                <w:sz w:val="4"/>
                <w:szCs w:val="4"/>
                <w:lang w:val="bg-BG"/>
              </w:rPr>
            </w:pPr>
          </w:p>
        </w:tc>
        <w:tc>
          <w:tcPr>
            <w:tcW w:w="360" w:type="dxa"/>
            <w:shd w:val="clear" w:color="auto" w:fill="FF0000"/>
          </w:tcPr>
          <w:p w14:paraId="428321E7" w14:textId="77777777" w:rsidR="00BD246F" w:rsidRPr="0067300D" w:rsidRDefault="00BD246F" w:rsidP="009B0E7F">
            <w:pPr>
              <w:spacing w:after="120" w:line="276" w:lineRule="auto"/>
              <w:jc w:val="both"/>
              <w:rPr>
                <w:rFonts w:ascii="Times New Roman" w:hAnsi="Times New Roman" w:cs="Times New Roman"/>
                <w:sz w:val="20"/>
                <w:szCs w:val="20"/>
                <w:lang w:val="bg-BG"/>
              </w:rPr>
            </w:pPr>
          </w:p>
        </w:tc>
        <w:tc>
          <w:tcPr>
            <w:tcW w:w="6655" w:type="dxa"/>
          </w:tcPr>
          <w:p w14:paraId="4D002F6D" w14:textId="77777777" w:rsidR="0065779A" w:rsidRPr="004575FB" w:rsidRDefault="0065779A" w:rsidP="0065779A">
            <w:pPr>
              <w:spacing w:after="120" w:line="276" w:lineRule="auto"/>
              <w:jc w:val="both"/>
              <w:rPr>
                <w:rFonts w:ascii="Times New Roman" w:hAnsi="Times New Roman"/>
                <w:b/>
                <w:bCs/>
                <w:color w:val="C00000"/>
                <w:sz w:val="20"/>
                <w:szCs w:val="20"/>
                <w:lang w:val="ru-RU"/>
              </w:rPr>
            </w:pPr>
            <w:r w:rsidRPr="004575FB">
              <w:rPr>
                <w:rFonts w:ascii="Times New Roman" w:hAnsi="Times New Roman"/>
                <w:b/>
                <w:bCs/>
                <w:color w:val="C00000"/>
                <w:sz w:val="20"/>
                <w:szCs w:val="20"/>
                <w:lang w:val="ru-RU"/>
              </w:rPr>
              <w:t xml:space="preserve">Тенденциите / промените към влошаване преобладават </w:t>
            </w:r>
          </w:p>
          <w:p w14:paraId="3BB867DF" w14:textId="67D9FFA5"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Style w:val="jlqj4b"/>
                <w:rFonts w:ascii="Times New Roman" w:hAnsi="Times New Roman" w:cs="Times New Roman"/>
                <w:sz w:val="20"/>
                <w:szCs w:val="20"/>
                <w:lang w:val="bg-BG"/>
              </w:rPr>
              <w:t>Натрупването на устойчиви химикали и продължаващите емисии на опасни и устойчиви химикали в околната среда означава, че е вероятно въздействието на химичното замърсяване върху екосистемите да не намалее.</w:t>
            </w:r>
            <w:r w:rsidRPr="0067300D">
              <w:rPr>
                <w:rStyle w:val="viiyi"/>
                <w:rFonts w:ascii="Times New Roman" w:hAnsi="Times New Roman" w:cs="Times New Roman"/>
                <w:sz w:val="20"/>
                <w:szCs w:val="20"/>
                <w:lang w:val="bg-BG"/>
              </w:rPr>
              <w:t xml:space="preserve"> Старите и </w:t>
            </w:r>
            <w:r w:rsidRPr="0067300D">
              <w:rPr>
                <w:rStyle w:val="jlqj4b"/>
                <w:rFonts w:ascii="Times New Roman" w:hAnsi="Times New Roman" w:cs="Times New Roman"/>
                <w:sz w:val="20"/>
                <w:szCs w:val="20"/>
                <w:lang w:val="bg-BG"/>
              </w:rPr>
              <w:t>нововъзникващите замърсители в почвата са особено притеснителни, като се има предвид липсата на европейска политика за почвата.</w:t>
            </w:r>
            <w:r w:rsidRPr="0067300D">
              <w:rPr>
                <w:rStyle w:val="viiyi"/>
                <w:rFonts w:ascii="Times New Roman" w:hAnsi="Times New Roman" w:cs="Times New Roman"/>
                <w:sz w:val="20"/>
                <w:szCs w:val="20"/>
                <w:lang w:val="bg-BG"/>
              </w:rPr>
              <w:t xml:space="preserve"> </w:t>
            </w:r>
            <w:r w:rsidRPr="0067300D">
              <w:rPr>
                <w:rStyle w:val="jlqj4b"/>
                <w:rFonts w:ascii="Times New Roman" w:hAnsi="Times New Roman" w:cs="Times New Roman"/>
                <w:sz w:val="20"/>
                <w:szCs w:val="20"/>
                <w:lang w:val="bg-BG"/>
              </w:rPr>
              <w:t>Като цяло настоящите политики изостават при справяне с голям брой химикали и процедурите не са в крак с темповете на развитие, като увеличаване на производството, навлизане на нови химикали на пазара, химикали във вносни изделия и пропуски в доказателствената база</w:t>
            </w:r>
          </w:p>
        </w:tc>
      </w:tr>
    </w:tbl>
    <w:p w14:paraId="374A4E00" w14:textId="77777777" w:rsidR="00BD246F" w:rsidRPr="0067300D" w:rsidRDefault="00BD246F" w:rsidP="00BD246F">
      <w:pPr>
        <w:spacing w:after="120" w:line="276" w:lineRule="auto"/>
        <w:jc w:val="both"/>
        <w:rPr>
          <w:rFonts w:ascii="Times New Roman" w:hAnsi="Times New Roman" w:cs="Times New Roman"/>
          <w:sz w:val="24"/>
          <w:szCs w:val="24"/>
          <w:lang w:val="bg-BG"/>
        </w:rPr>
      </w:pPr>
    </w:p>
    <w:tbl>
      <w:tblPr>
        <w:tblStyle w:val="TableGrid"/>
        <w:tblW w:w="0" w:type="auto"/>
        <w:tblLook w:val="04A0" w:firstRow="1" w:lastRow="0" w:firstColumn="1" w:lastColumn="0" w:noHBand="0" w:noVBand="1"/>
      </w:tblPr>
      <w:tblGrid>
        <w:gridCol w:w="2335"/>
        <w:gridCol w:w="360"/>
        <w:gridCol w:w="6655"/>
      </w:tblGrid>
      <w:tr w:rsidR="00BD246F" w:rsidRPr="004575FB" w14:paraId="4E14FB9D" w14:textId="77777777" w:rsidTr="009B0E7F">
        <w:tc>
          <w:tcPr>
            <w:tcW w:w="9350" w:type="dxa"/>
            <w:gridSpan w:val="3"/>
          </w:tcPr>
          <w:p w14:paraId="389F3084" w14:textId="77777777"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Химическо замърсяване и рискове за човешкото здраве</w:t>
            </w:r>
          </w:p>
        </w:tc>
      </w:tr>
      <w:tr w:rsidR="00BD246F" w:rsidRPr="004575FB" w14:paraId="1CCF875A" w14:textId="77777777" w:rsidTr="009B0E7F">
        <w:tc>
          <w:tcPr>
            <w:tcW w:w="2335" w:type="dxa"/>
          </w:tcPr>
          <w:p w14:paraId="160590B4" w14:textId="77777777"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Тенденции през последните 10-15  години</w:t>
            </w:r>
          </w:p>
          <w:p w14:paraId="6E8CF49F" w14:textId="77777777" w:rsidR="00BD246F" w:rsidRPr="0067300D" w:rsidRDefault="00BD246F" w:rsidP="009B0E7F">
            <w:pPr>
              <w:spacing w:after="120" w:line="276" w:lineRule="auto"/>
              <w:jc w:val="both"/>
              <w:rPr>
                <w:rFonts w:ascii="Times New Roman" w:hAnsi="Times New Roman" w:cs="Times New Roman"/>
                <w:sz w:val="4"/>
                <w:szCs w:val="4"/>
                <w:lang w:val="bg-BG"/>
              </w:rPr>
            </w:pPr>
          </w:p>
        </w:tc>
        <w:tc>
          <w:tcPr>
            <w:tcW w:w="360" w:type="dxa"/>
            <w:shd w:val="clear" w:color="auto" w:fill="FFC000"/>
          </w:tcPr>
          <w:p w14:paraId="3091708C" w14:textId="77777777" w:rsidR="00BD246F" w:rsidRPr="0067300D" w:rsidRDefault="00BD246F" w:rsidP="009B0E7F">
            <w:pPr>
              <w:spacing w:after="120" w:line="276" w:lineRule="auto"/>
              <w:jc w:val="both"/>
              <w:rPr>
                <w:rFonts w:ascii="Times New Roman" w:hAnsi="Times New Roman" w:cs="Times New Roman"/>
                <w:sz w:val="20"/>
                <w:szCs w:val="20"/>
                <w:lang w:val="bg-BG"/>
              </w:rPr>
            </w:pPr>
          </w:p>
        </w:tc>
        <w:tc>
          <w:tcPr>
            <w:tcW w:w="6655" w:type="dxa"/>
          </w:tcPr>
          <w:p w14:paraId="04C4A4EC" w14:textId="77777777" w:rsidR="0065779A" w:rsidRPr="004575FB" w:rsidRDefault="0065779A" w:rsidP="0065779A">
            <w:pPr>
              <w:spacing w:after="120" w:line="276" w:lineRule="auto"/>
              <w:jc w:val="both"/>
              <w:rPr>
                <w:rFonts w:ascii="Times New Roman" w:hAnsi="Times New Roman"/>
                <w:b/>
                <w:bCs/>
                <w:color w:val="FFC000"/>
                <w:sz w:val="20"/>
                <w:szCs w:val="20"/>
                <w:lang w:val="ru-RU"/>
              </w:rPr>
            </w:pPr>
            <w:r w:rsidRPr="004575FB">
              <w:rPr>
                <w:rFonts w:ascii="Times New Roman" w:hAnsi="Times New Roman"/>
                <w:b/>
                <w:bCs/>
                <w:color w:val="FFC000"/>
                <w:sz w:val="20"/>
                <w:szCs w:val="20"/>
                <w:lang w:val="ru-RU"/>
              </w:rPr>
              <w:t xml:space="preserve">Тенденциите / промените към подобрение преобладават </w:t>
            </w:r>
          </w:p>
          <w:p w14:paraId="0CAB25A3" w14:textId="77777777" w:rsidR="00BD246F" w:rsidRPr="0067300D" w:rsidRDefault="00BD246F" w:rsidP="009B0E7F">
            <w:pPr>
              <w:spacing w:line="276" w:lineRule="auto"/>
              <w:jc w:val="both"/>
              <w:rPr>
                <w:rFonts w:ascii="Times New Roman" w:hAnsi="Times New Roman" w:cs="Times New Roman"/>
                <w:sz w:val="20"/>
                <w:szCs w:val="20"/>
                <w:lang w:val="bg-BG"/>
              </w:rPr>
            </w:pPr>
            <w:r w:rsidRPr="0067300D">
              <w:rPr>
                <w:rStyle w:val="jlqj4b"/>
                <w:rFonts w:ascii="Times New Roman" w:hAnsi="Times New Roman" w:cs="Times New Roman"/>
                <w:sz w:val="20"/>
                <w:szCs w:val="20"/>
                <w:lang w:val="bg-BG"/>
              </w:rPr>
              <w:t>Въпреки намалените емисии на някои известни опасни вещества, опасенията остават относно ежедневното излагане на хората на химикали и техните ефекти върху здравето, включително алергии и преждевременна смърт на работниците.</w:t>
            </w:r>
            <w:r w:rsidRPr="0067300D">
              <w:rPr>
                <w:rStyle w:val="viiyi"/>
                <w:rFonts w:ascii="Times New Roman" w:hAnsi="Times New Roman" w:cs="Times New Roman"/>
                <w:sz w:val="20"/>
                <w:szCs w:val="20"/>
                <w:lang w:val="bg-BG"/>
              </w:rPr>
              <w:t xml:space="preserve"> </w:t>
            </w:r>
            <w:r w:rsidRPr="0067300D">
              <w:rPr>
                <w:rStyle w:val="jlqj4b"/>
                <w:rFonts w:ascii="Times New Roman" w:hAnsi="Times New Roman" w:cs="Times New Roman"/>
                <w:sz w:val="20"/>
                <w:szCs w:val="20"/>
                <w:lang w:val="bg-BG"/>
              </w:rPr>
              <w:t>Излагането на остарели замърсители остава загриженост за здравето въпреки намаляването на емисиите, както и излагането на токсични за развитието вещества, като нарушаващи ендокринната система, невро- и имунотоксични химикали</w:t>
            </w:r>
          </w:p>
        </w:tc>
      </w:tr>
      <w:tr w:rsidR="00BD246F" w:rsidRPr="004575FB" w14:paraId="68B1C0C7" w14:textId="77777777" w:rsidTr="009B0E7F">
        <w:tc>
          <w:tcPr>
            <w:tcW w:w="2335" w:type="dxa"/>
          </w:tcPr>
          <w:p w14:paraId="608856D1" w14:textId="77777777"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Fonts w:ascii="Times New Roman" w:hAnsi="Times New Roman" w:cs="Times New Roman"/>
                <w:sz w:val="20"/>
                <w:szCs w:val="20"/>
                <w:lang w:val="bg-BG"/>
              </w:rPr>
              <w:t>Перспективи за 2030 г.</w:t>
            </w:r>
          </w:p>
          <w:p w14:paraId="697788EF" w14:textId="77777777" w:rsidR="00BD246F" w:rsidRPr="0067300D" w:rsidRDefault="00BD246F" w:rsidP="009B0E7F">
            <w:pPr>
              <w:spacing w:after="120" w:line="276" w:lineRule="auto"/>
              <w:jc w:val="both"/>
              <w:rPr>
                <w:rFonts w:ascii="Times New Roman" w:hAnsi="Times New Roman" w:cs="Times New Roman"/>
                <w:sz w:val="4"/>
                <w:szCs w:val="4"/>
                <w:lang w:val="bg-BG"/>
              </w:rPr>
            </w:pPr>
          </w:p>
        </w:tc>
        <w:tc>
          <w:tcPr>
            <w:tcW w:w="360" w:type="dxa"/>
            <w:shd w:val="clear" w:color="auto" w:fill="FF0000"/>
          </w:tcPr>
          <w:p w14:paraId="29CD2014" w14:textId="77777777" w:rsidR="00BD246F" w:rsidRPr="0067300D" w:rsidRDefault="00BD246F" w:rsidP="009B0E7F">
            <w:pPr>
              <w:spacing w:after="120" w:line="276" w:lineRule="auto"/>
              <w:jc w:val="both"/>
              <w:rPr>
                <w:rFonts w:ascii="Times New Roman" w:hAnsi="Times New Roman" w:cs="Times New Roman"/>
                <w:sz w:val="20"/>
                <w:szCs w:val="20"/>
                <w:lang w:val="bg-BG"/>
              </w:rPr>
            </w:pPr>
          </w:p>
        </w:tc>
        <w:tc>
          <w:tcPr>
            <w:tcW w:w="6655" w:type="dxa"/>
          </w:tcPr>
          <w:p w14:paraId="77FEAA56" w14:textId="77777777" w:rsidR="0065779A" w:rsidRPr="004575FB" w:rsidRDefault="0065779A" w:rsidP="0065779A">
            <w:pPr>
              <w:spacing w:after="120" w:line="276" w:lineRule="auto"/>
              <w:jc w:val="both"/>
              <w:rPr>
                <w:rFonts w:ascii="Times New Roman" w:hAnsi="Times New Roman"/>
                <w:b/>
                <w:bCs/>
                <w:color w:val="C00000"/>
                <w:sz w:val="20"/>
                <w:szCs w:val="20"/>
                <w:lang w:val="ru-RU"/>
              </w:rPr>
            </w:pPr>
            <w:r w:rsidRPr="004575FB">
              <w:rPr>
                <w:rFonts w:ascii="Times New Roman" w:hAnsi="Times New Roman"/>
                <w:b/>
                <w:bCs/>
                <w:color w:val="C00000"/>
                <w:sz w:val="20"/>
                <w:szCs w:val="20"/>
                <w:lang w:val="ru-RU"/>
              </w:rPr>
              <w:t xml:space="preserve">Тенденциите / промените към влошаване преобладават </w:t>
            </w:r>
          </w:p>
          <w:p w14:paraId="3D545E48" w14:textId="1B2837CD" w:rsidR="00BD246F" w:rsidRPr="0067300D" w:rsidRDefault="00BD246F" w:rsidP="009B0E7F">
            <w:pPr>
              <w:spacing w:after="120" w:line="276" w:lineRule="auto"/>
              <w:jc w:val="both"/>
              <w:rPr>
                <w:rFonts w:ascii="Times New Roman" w:hAnsi="Times New Roman" w:cs="Times New Roman"/>
                <w:sz w:val="20"/>
                <w:szCs w:val="20"/>
                <w:lang w:val="bg-BG"/>
              </w:rPr>
            </w:pPr>
            <w:r w:rsidRPr="0067300D">
              <w:rPr>
                <w:rStyle w:val="jlqj4b"/>
                <w:rFonts w:ascii="Times New Roman" w:hAnsi="Times New Roman" w:cs="Times New Roman"/>
                <w:sz w:val="20"/>
                <w:szCs w:val="20"/>
                <w:lang w:val="bg-BG"/>
              </w:rPr>
              <w:t>Въздействието на натрупаните химикали и продължаващите емисии на опасни и устойчиви химикали предполага, че излагането на човека на сложни смеси от химикали ще продължи да се увеличава.</w:t>
            </w:r>
            <w:r w:rsidRPr="0067300D">
              <w:rPr>
                <w:rStyle w:val="viiyi"/>
                <w:rFonts w:ascii="Times New Roman" w:hAnsi="Times New Roman" w:cs="Times New Roman"/>
                <w:sz w:val="20"/>
                <w:szCs w:val="20"/>
                <w:lang w:val="bg-BG"/>
              </w:rPr>
              <w:t xml:space="preserve"> </w:t>
            </w:r>
            <w:r w:rsidRPr="0067300D">
              <w:rPr>
                <w:rStyle w:val="jlqj4b"/>
                <w:rFonts w:ascii="Times New Roman" w:hAnsi="Times New Roman" w:cs="Times New Roman"/>
                <w:sz w:val="20"/>
                <w:szCs w:val="20"/>
                <w:lang w:val="bg-BG"/>
              </w:rPr>
              <w:t>Увеличеният внос на изделия и рециклирането на материали може да увеличи излагането на химикали, които предизвикват загриженост.</w:t>
            </w:r>
            <w:r w:rsidRPr="0067300D">
              <w:rPr>
                <w:rStyle w:val="viiyi"/>
                <w:rFonts w:ascii="Times New Roman" w:hAnsi="Times New Roman" w:cs="Times New Roman"/>
                <w:sz w:val="20"/>
                <w:szCs w:val="20"/>
                <w:lang w:val="bg-BG"/>
              </w:rPr>
              <w:t xml:space="preserve"> </w:t>
            </w:r>
            <w:r w:rsidRPr="0067300D">
              <w:rPr>
                <w:rStyle w:val="jlqj4b"/>
                <w:rFonts w:ascii="Times New Roman" w:hAnsi="Times New Roman" w:cs="Times New Roman"/>
                <w:sz w:val="20"/>
                <w:szCs w:val="20"/>
                <w:lang w:val="bg-BG"/>
              </w:rPr>
              <w:t>Настоящите политики изостават при оценката и регулирането на рисковете от излагане на по-голямата част от използваните химикали.</w:t>
            </w:r>
            <w:r w:rsidRPr="0067300D">
              <w:rPr>
                <w:rStyle w:val="viiyi"/>
                <w:rFonts w:ascii="Times New Roman" w:hAnsi="Times New Roman" w:cs="Times New Roman"/>
                <w:sz w:val="20"/>
                <w:szCs w:val="20"/>
                <w:lang w:val="bg-BG"/>
              </w:rPr>
              <w:t xml:space="preserve"> </w:t>
            </w:r>
            <w:r w:rsidRPr="0067300D">
              <w:rPr>
                <w:rStyle w:val="jlqj4b"/>
                <w:rFonts w:ascii="Times New Roman" w:hAnsi="Times New Roman" w:cs="Times New Roman"/>
                <w:sz w:val="20"/>
                <w:szCs w:val="20"/>
                <w:lang w:val="bg-BG"/>
              </w:rPr>
              <w:t>Следователно е малко вероятно отрицателното въздействие на химикалите върху човешкото здраве да намалее.</w:t>
            </w:r>
          </w:p>
        </w:tc>
      </w:tr>
    </w:tbl>
    <w:p w14:paraId="063D7D38" w14:textId="77777777" w:rsidR="00BD246F" w:rsidRPr="0067300D" w:rsidRDefault="00BD246F" w:rsidP="00BD246F">
      <w:pPr>
        <w:spacing w:after="120" w:line="276" w:lineRule="auto"/>
        <w:jc w:val="both"/>
        <w:rPr>
          <w:rFonts w:ascii="Times New Roman" w:hAnsi="Times New Roman" w:cs="Times New Roman"/>
          <w:b/>
          <w:bCs/>
          <w:sz w:val="24"/>
          <w:szCs w:val="24"/>
          <w:lang w:val="bg-BG"/>
        </w:rPr>
      </w:pPr>
    </w:p>
    <w:p w14:paraId="4E0DC849" w14:textId="77777777" w:rsidR="00650739" w:rsidRPr="00EE1AAE" w:rsidRDefault="00650739" w:rsidP="00650739">
      <w:pPr>
        <w:spacing w:before="120" w:after="120" w:line="264" w:lineRule="auto"/>
        <w:jc w:val="both"/>
        <w:rPr>
          <w:rStyle w:val="jlqj4b"/>
          <w:rFonts w:ascii="Times New Roman" w:hAnsi="Times New Roman" w:cs="Times New Roman"/>
          <w:lang w:val="bg-BG"/>
        </w:rPr>
      </w:pPr>
      <w:r w:rsidRPr="00EE1AAE">
        <w:rPr>
          <w:rStyle w:val="jlqj4b"/>
          <w:rFonts w:ascii="Times New Roman" w:hAnsi="Times New Roman" w:cs="Times New Roman"/>
          <w:lang w:val="bg-BG"/>
        </w:rPr>
        <w:t xml:space="preserve">Отговори и перспективи за постигане на договорени цели </w:t>
      </w:r>
    </w:p>
    <w:p w14:paraId="01C9797B" w14:textId="77777777" w:rsidR="00650739" w:rsidRPr="00EE1AAE" w:rsidRDefault="00650739" w:rsidP="00650739">
      <w:pPr>
        <w:spacing w:before="120" w:after="120" w:line="264" w:lineRule="auto"/>
        <w:jc w:val="both"/>
        <w:rPr>
          <w:rStyle w:val="jlqj4b"/>
          <w:rFonts w:ascii="Times New Roman" w:hAnsi="Times New Roman" w:cs="Times New Roman"/>
          <w:lang w:val="bg-BG"/>
        </w:rPr>
      </w:pPr>
      <w:r w:rsidRPr="00EE1AAE">
        <w:rPr>
          <w:rStyle w:val="jlqj4b"/>
          <w:rFonts w:ascii="Times New Roman" w:hAnsi="Times New Roman" w:cs="Times New Roman"/>
          <w:lang w:val="bg-BG"/>
        </w:rPr>
        <w:t xml:space="preserve">Законодателството в областта на химикалите обхваща различни области на политиката. Тази сложност на законодателството относно химикалите създава някои предизвикателства по отношение на съгласуваността и ефективността и неговата значимост се оспорва от честотата, с която се въвеждат нови химикали, регулирането и мониторинга на относително малко и главно единични вещества и разширяването на знанията ни за рисковете на химикали (EEA, 2013). </w:t>
      </w:r>
    </w:p>
    <w:p w14:paraId="294618CF" w14:textId="77777777" w:rsidR="00650739" w:rsidRPr="001A3F27" w:rsidRDefault="00650739" w:rsidP="001A3F27">
      <w:pPr>
        <w:spacing w:before="120" w:after="120" w:line="264" w:lineRule="auto"/>
        <w:jc w:val="both"/>
        <w:rPr>
          <w:rStyle w:val="jlqj4b"/>
          <w:rFonts w:ascii="Times New Roman" w:hAnsi="Times New Roman" w:cs="Times New Roman"/>
          <w:lang w:val="bg-BG"/>
        </w:rPr>
      </w:pPr>
      <w:r w:rsidRPr="001A3F27">
        <w:rPr>
          <w:rStyle w:val="jlqj4b"/>
          <w:rFonts w:ascii="Times New Roman" w:hAnsi="Times New Roman" w:cs="Times New Roman"/>
          <w:lang w:val="bg-BG"/>
        </w:rPr>
        <w:t xml:space="preserve">Основните двигатели за въвеждането на законодателството REACH (ЕС, 2006b) са да се преодолее информационната празнина по отношение на химикалите и да се ускори оценката на риска и прилагането на управлението на риска за съществуващите химикали за защита на човешкото здраве и околната среда (ЕО, 2019c). </w:t>
      </w:r>
    </w:p>
    <w:p w14:paraId="01328EBA" w14:textId="5B8B9482" w:rsidR="00650739" w:rsidRPr="001A3F27" w:rsidRDefault="00650739" w:rsidP="001A3F27">
      <w:pPr>
        <w:spacing w:before="120" w:after="120" w:line="264" w:lineRule="auto"/>
        <w:jc w:val="both"/>
        <w:rPr>
          <w:rStyle w:val="jlqj4b"/>
          <w:rFonts w:ascii="Times New Roman" w:hAnsi="Times New Roman" w:cs="Times New Roman"/>
          <w:lang w:val="bg-BG"/>
        </w:rPr>
      </w:pPr>
      <w:r w:rsidRPr="001A3F27">
        <w:rPr>
          <w:rStyle w:val="jlqj4b"/>
          <w:rFonts w:ascii="Times New Roman" w:hAnsi="Times New Roman" w:cs="Times New Roman"/>
          <w:lang w:val="bg-BG"/>
        </w:rPr>
        <w:t xml:space="preserve">Около 10 години след влизането му в сила, регламентът REACH действа напълно, въпреки че напредъкът към целите изостава от първоначалните очаквания. Вторият преглед на REACH (EC, 2018a) идентифицира недостатъци в изпълнението му, които възпрепятстват постигането на целите му, включително до 70% от регистрационните досиета, които не отговарят (ECHA, 2018b; BFR, 2018) и необходимостта от опростяване на процеса на разрешаване, осигуряване на равни условия за държавите извън ЕС и осигуряване на съгласуваност на политиките между REACH и друго законодателство. </w:t>
      </w:r>
    </w:p>
    <w:p w14:paraId="1C6CA5A9" w14:textId="77777777" w:rsidR="00650739" w:rsidRPr="001A3F27" w:rsidRDefault="00650739" w:rsidP="001A3F27">
      <w:pPr>
        <w:spacing w:before="120" w:after="120" w:line="264" w:lineRule="auto"/>
        <w:jc w:val="both"/>
        <w:rPr>
          <w:rFonts w:ascii="Times New Roman" w:hAnsi="Times New Roman" w:cs="Times New Roman"/>
          <w:lang w:val="bg-BG"/>
        </w:rPr>
      </w:pPr>
      <w:r w:rsidRPr="001A3F27">
        <w:rPr>
          <w:rFonts w:ascii="Times New Roman" w:hAnsi="Times New Roman" w:cs="Times New Roman"/>
          <w:lang w:val="bg-BG"/>
        </w:rPr>
        <w:t>През март 2018 г. Комисията публикува оценка на Регламента REACH</w:t>
      </w:r>
      <w:r w:rsidRPr="001A3F27">
        <w:rPr>
          <w:rStyle w:val="FootnoteReference"/>
          <w:rFonts w:ascii="Times New Roman" w:hAnsi="Times New Roman" w:cs="Times New Roman"/>
          <w:lang w:val="bg-BG"/>
        </w:rPr>
        <w:footnoteReference w:id="22"/>
      </w:r>
      <w:r w:rsidRPr="001A3F27">
        <w:rPr>
          <w:rFonts w:ascii="Times New Roman" w:hAnsi="Times New Roman" w:cs="Times New Roman"/>
          <w:lang w:val="bg-BG"/>
        </w:rPr>
        <w:t>. В оценката се прави заключение, че регламентът изпълнява своите цели, но постигнатият напредък е по-бавен от очакваното и че регистрационните досиета често са непълни. В нея също така се подчертава необходимостта от по-стриктно прилагане на законодателството от страна на всички участници, включително регистрантите, потребителите надолу по веригата и особено вносителите, за да се гарантират условия на равнопоставеност, да се изпълнят целите на Регламента REACH и да се осигури съгласуваност с предвидените действия за подобряване на спазването на законодателството и управлението в областта на околната среда. Във връзка с това беше подчертана важността на систематичното докладване за дейностите по прилагане на законодателството от страна на държавите членки.</w:t>
      </w:r>
    </w:p>
    <w:p w14:paraId="0B9A31AB" w14:textId="77777777" w:rsidR="00650739" w:rsidRPr="001A3F27" w:rsidRDefault="00650739" w:rsidP="001A3F27">
      <w:pPr>
        <w:spacing w:before="120" w:after="120" w:line="264" w:lineRule="auto"/>
        <w:jc w:val="both"/>
        <w:rPr>
          <w:rStyle w:val="jlqj4b"/>
          <w:rFonts w:ascii="Times New Roman" w:hAnsi="Times New Roman" w:cs="Times New Roman"/>
          <w:lang w:val="bg-BG"/>
        </w:rPr>
      </w:pPr>
      <w:r w:rsidRPr="001A3F27">
        <w:rPr>
          <w:rStyle w:val="jlqj4b"/>
          <w:rFonts w:ascii="Times New Roman" w:hAnsi="Times New Roman" w:cs="Times New Roman"/>
          <w:lang w:val="bg-BG"/>
        </w:rPr>
        <w:t xml:space="preserve">В допълнение, времето, необходимо за вещества, които са потенциално загрижени за човешкото здраве, за да бъде оценено съгласно законодателството на REACH, се оценява на 7-9 години, като през това време експозицията продължава. Едва след завършване на оценката мерките за управление на риска се въвеждат чрез процеси, които също отнемат значително време. </w:t>
      </w:r>
    </w:p>
    <w:p w14:paraId="35701429" w14:textId="77777777" w:rsidR="00650739" w:rsidRPr="001A3F27" w:rsidRDefault="00650739" w:rsidP="001A3F27">
      <w:pPr>
        <w:spacing w:before="120" w:after="120" w:line="264" w:lineRule="auto"/>
        <w:jc w:val="both"/>
        <w:rPr>
          <w:rStyle w:val="jlqj4b"/>
          <w:rFonts w:ascii="Times New Roman" w:hAnsi="Times New Roman" w:cs="Times New Roman"/>
          <w:lang w:val="bg-BG"/>
        </w:rPr>
      </w:pPr>
      <w:r w:rsidRPr="001A3F27">
        <w:rPr>
          <w:rStyle w:val="jlqj4b"/>
          <w:rFonts w:ascii="Times New Roman" w:hAnsi="Times New Roman" w:cs="Times New Roman"/>
          <w:lang w:val="bg-BG"/>
        </w:rPr>
        <w:t xml:space="preserve">В контекст, в който по REACH са регистрирани над 22 600 химични вещества, много с неизвестни свойства и въздействия, настоящият подход за всяко вещество, включващ удължен период, докато не бъдат въведени мерки за управление на риска, не е подходящ за целта. </w:t>
      </w:r>
    </w:p>
    <w:p w14:paraId="27C2403A" w14:textId="77777777" w:rsidR="00650739" w:rsidRPr="004575FB" w:rsidRDefault="00650739" w:rsidP="001A3F27">
      <w:pPr>
        <w:spacing w:before="120" w:after="120" w:line="264" w:lineRule="auto"/>
        <w:jc w:val="both"/>
        <w:rPr>
          <w:rStyle w:val="jlqj4b"/>
          <w:rFonts w:ascii="Times New Roman" w:hAnsi="Times New Roman" w:cs="Times New Roman"/>
          <w:lang w:val="ru-RU"/>
        </w:rPr>
      </w:pPr>
      <w:r w:rsidRPr="001A3F27">
        <w:rPr>
          <w:rStyle w:val="jlqj4b"/>
          <w:rFonts w:ascii="Times New Roman" w:hAnsi="Times New Roman" w:cs="Times New Roman"/>
          <w:lang w:val="bg-BG"/>
        </w:rPr>
        <w:t>Въпреки тези недостатъци, регламентът REACH позиционира ЕС като фаворит в тази област и повлия на законодателството в други страни. Наред с REACH, Регламентът CLP, Регламентът за УОЗ и Директивата за ограничаване на опасните вещества (RoHS) допринесоха значително за управлението на рисковете и намаляването на излагането на опасни химикали, като SVHC (EC,</w:t>
      </w:r>
      <w:r w:rsidRPr="004575FB">
        <w:rPr>
          <w:rStyle w:val="jlqj4b"/>
          <w:rFonts w:ascii="Times New Roman" w:hAnsi="Times New Roman" w:cs="Times New Roman"/>
          <w:lang w:val="ru-RU"/>
        </w:rPr>
        <w:t xml:space="preserve"> 2019</w:t>
      </w:r>
      <w:r w:rsidRPr="001A3F27">
        <w:rPr>
          <w:rStyle w:val="jlqj4b"/>
          <w:rFonts w:ascii="Times New Roman" w:hAnsi="Times New Roman" w:cs="Times New Roman"/>
        </w:rPr>
        <w:t>c</w:t>
      </w:r>
      <w:r w:rsidRPr="004575FB">
        <w:rPr>
          <w:rStyle w:val="jlqj4b"/>
          <w:rFonts w:ascii="Times New Roman" w:hAnsi="Times New Roman" w:cs="Times New Roman"/>
          <w:lang w:val="ru-RU"/>
        </w:rPr>
        <w:t xml:space="preserve">). </w:t>
      </w:r>
    </w:p>
    <w:p w14:paraId="7157B13D" w14:textId="4C37666C" w:rsidR="00EE1AAE" w:rsidRDefault="00EE1AAE" w:rsidP="00FD5606">
      <w:pPr>
        <w:jc w:val="both"/>
        <w:rPr>
          <w:rFonts w:ascii="Times New Roman" w:hAnsi="Times New Roman" w:cs="Times New Roman"/>
          <w:lang w:val="bg-BG"/>
        </w:rPr>
      </w:pPr>
    </w:p>
    <w:p w14:paraId="0461216B" w14:textId="46209215" w:rsidR="00EE1AAE" w:rsidRDefault="00EE1AAE" w:rsidP="00FD5606">
      <w:pPr>
        <w:jc w:val="both"/>
        <w:rPr>
          <w:rFonts w:ascii="Times New Roman" w:hAnsi="Times New Roman" w:cs="Times New Roman"/>
          <w:lang w:val="bg-BG"/>
        </w:rPr>
      </w:pPr>
      <w:r>
        <w:rPr>
          <w:rFonts w:ascii="Times New Roman" w:hAnsi="Times New Roman" w:cs="Times New Roman"/>
          <w:lang w:val="bg-BG"/>
        </w:rPr>
        <w:t>Предизвикателства и препоръки:</w:t>
      </w:r>
    </w:p>
    <w:tbl>
      <w:tblPr>
        <w:tblStyle w:val="TableGrid"/>
        <w:tblW w:w="0" w:type="auto"/>
        <w:tblLook w:val="04A0" w:firstRow="1" w:lastRow="0" w:firstColumn="1" w:lastColumn="0" w:noHBand="0" w:noVBand="1"/>
      </w:tblPr>
      <w:tblGrid>
        <w:gridCol w:w="4698"/>
        <w:gridCol w:w="4698"/>
      </w:tblGrid>
      <w:tr w:rsidR="00EE1AAE" w14:paraId="102FE100" w14:textId="77777777" w:rsidTr="00EE1AAE">
        <w:tc>
          <w:tcPr>
            <w:tcW w:w="4698" w:type="dxa"/>
          </w:tcPr>
          <w:p w14:paraId="414EB350" w14:textId="09BE38A7" w:rsidR="00EE1AAE" w:rsidRDefault="00650739" w:rsidP="00FD5606">
            <w:pPr>
              <w:jc w:val="both"/>
              <w:rPr>
                <w:rFonts w:ascii="Times New Roman" w:hAnsi="Times New Roman" w:cs="Times New Roman"/>
                <w:lang w:val="bg-BG"/>
              </w:rPr>
            </w:pPr>
            <w:r>
              <w:rPr>
                <w:rFonts w:ascii="Times New Roman" w:hAnsi="Times New Roman" w:cs="Times New Roman"/>
                <w:lang w:val="bg-BG"/>
              </w:rPr>
              <w:t>Предизвикателства</w:t>
            </w:r>
          </w:p>
        </w:tc>
        <w:tc>
          <w:tcPr>
            <w:tcW w:w="4698" w:type="dxa"/>
          </w:tcPr>
          <w:p w14:paraId="0341D909" w14:textId="1103082A" w:rsidR="00EE1AAE" w:rsidRDefault="00650739" w:rsidP="00FD5606">
            <w:pPr>
              <w:jc w:val="both"/>
              <w:rPr>
                <w:rFonts w:ascii="Times New Roman" w:hAnsi="Times New Roman" w:cs="Times New Roman"/>
                <w:lang w:val="bg-BG"/>
              </w:rPr>
            </w:pPr>
            <w:r>
              <w:rPr>
                <w:rFonts w:ascii="Times New Roman" w:hAnsi="Times New Roman" w:cs="Times New Roman"/>
                <w:lang w:val="bg-BG"/>
              </w:rPr>
              <w:t>Препоръки</w:t>
            </w:r>
          </w:p>
        </w:tc>
      </w:tr>
      <w:tr w:rsidR="00EE1AAE" w:rsidRPr="004575FB" w14:paraId="483908A3" w14:textId="77777777" w:rsidTr="00EE1AAE">
        <w:tc>
          <w:tcPr>
            <w:tcW w:w="4698" w:type="dxa"/>
          </w:tcPr>
          <w:p w14:paraId="16C80761" w14:textId="09433223" w:rsidR="00EE1AAE" w:rsidRPr="001A3F27" w:rsidRDefault="00650739" w:rsidP="00BF1942">
            <w:pPr>
              <w:spacing w:before="120" w:after="120" w:line="264" w:lineRule="auto"/>
              <w:jc w:val="both"/>
              <w:rPr>
                <w:rFonts w:ascii="Times New Roman" w:hAnsi="Times New Roman" w:cs="Times New Roman"/>
                <w:sz w:val="20"/>
                <w:szCs w:val="20"/>
                <w:lang w:val="bg-BG"/>
              </w:rPr>
            </w:pPr>
            <w:r w:rsidRPr="001A3F27">
              <w:rPr>
                <w:rFonts w:ascii="Times New Roman" w:hAnsi="Times New Roman" w:cs="Times New Roman"/>
                <w:sz w:val="20"/>
                <w:szCs w:val="20"/>
                <w:lang w:val="bg-BG"/>
              </w:rPr>
              <w:t>Като предизвикателства са определени липсата на единна система за оценка на риска от</w:t>
            </w:r>
            <w:r w:rsidR="00BF1942" w:rsidRPr="001A3F27">
              <w:rPr>
                <w:rFonts w:ascii="Times New Roman" w:hAnsi="Times New Roman" w:cs="Times New Roman"/>
                <w:sz w:val="20"/>
                <w:szCs w:val="20"/>
                <w:lang w:val="bg-BG"/>
              </w:rPr>
              <w:t xml:space="preserve"> прилагането на химикали</w:t>
            </w:r>
            <w:r w:rsidRPr="001A3F27">
              <w:rPr>
                <w:rFonts w:ascii="Times New Roman" w:hAnsi="Times New Roman" w:cs="Times New Roman"/>
                <w:sz w:val="20"/>
                <w:szCs w:val="20"/>
                <w:lang w:val="bg-BG"/>
              </w:rPr>
              <w:t>, което затруднява изготвянето на оценката на риска от страна на операторите и оценката на документацията от компетентните органи.</w:t>
            </w:r>
          </w:p>
        </w:tc>
        <w:tc>
          <w:tcPr>
            <w:tcW w:w="4698" w:type="dxa"/>
          </w:tcPr>
          <w:p w14:paraId="1329A104" w14:textId="77777777" w:rsidR="00BF1942" w:rsidRPr="001A3F27" w:rsidRDefault="00BF1942" w:rsidP="00BF1942">
            <w:pPr>
              <w:pStyle w:val="Heading3"/>
              <w:ind w:left="0"/>
              <w:outlineLvl w:val="2"/>
              <w:rPr>
                <w:b w:val="0"/>
                <w:bCs w:val="0"/>
                <w:i w:val="0"/>
                <w:iCs w:val="0"/>
                <w:sz w:val="20"/>
                <w:szCs w:val="20"/>
              </w:rPr>
            </w:pPr>
            <w:r w:rsidRPr="001A3F27">
              <w:rPr>
                <w:b w:val="0"/>
                <w:bCs w:val="0"/>
                <w:i w:val="0"/>
                <w:iCs w:val="0"/>
                <w:sz w:val="20"/>
                <w:szCs w:val="20"/>
              </w:rPr>
              <w:t>ЕИСК одобрява възприемането на подхода „Едно вещество — една оценка“ за извършването на ефикасна оценка на безопасността на химикалите.</w:t>
            </w:r>
          </w:p>
          <w:p w14:paraId="08678101" w14:textId="77777777" w:rsidR="00B86385" w:rsidRPr="001A3F27" w:rsidRDefault="00B86385" w:rsidP="00B86385">
            <w:pPr>
              <w:pStyle w:val="Heading3"/>
              <w:ind w:left="0"/>
              <w:outlineLvl w:val="2"/>
              <w:rPr>
                <w:b w:val="0"/>
                <w:bCs w:val="0"/>
                <w:i w:val="0"/>
                <w:iCs w:val="0"/>
                <w:sz w:val="20"/>
                <w:szCs w:val="20"/>
              </w:rPr>
            </w:pPr>
            <w:r w:rsidRPr="001A3F27">
              <w:rPr>
                <w:b w:val="0"/>
                <w:bCs w:val="0"/>
                <w:i w:val="0"/>
                <w:iCs w:val="0"/>
                <w:sz w:val="20"/>
                <w:szCs w:val="20"/>
              </w:rPr>
              <w:t>Това ще опрости и ускори процеса на одобрение, което ще бъде от полза за производителите и ще улесни научноизследователската дейност и разработването на алтернативни нетоксични вещества. Не би трябвало, обаче, да се пренебрегват различните въздействия на едно и също вещество при различни обстоятелства, както и в смеси.</w:t>
            </w:r>
          </w:p>
          <w:p w14:paraId="12CFC804" w14:textId="77777777" w:rsidR="00EE1AAE" w:rsidRPr="001A3F27" w:rsidRDefault="00EE1AAE" w:rsidP="00FD5606">
            <w:pPr>
              <w:jc w:val="both"/>
              <w:rPr>
                <w:rFonts w:ascii="Times New Roman" w:hAnsi="Times New Roman" w:cs="Times New Roman"/>
                <w:sz w:val="20"/>
                <w:szCs w:val="20"/>
                <w:lang w:val="bg-BG"/>
              </w:rPr>
            </w:pPr>
          </w:p>
        </w:tc>
      </w:tr>
      <w:tr w:rsidR="00EE1AAE" w:rsidRPr="004575FB" w14:paraId="2A345994" w14:textId="77777777" w:rsidTr="00EE1AAE">
        <w:tc>
          <w:tcPr>
            <w:tcW w:w="4698" w:type="dxa"/>
          </w:tcPr>
          <w:p w14:paraId="4F0D1E1F" w14:textId="10B0D14F" w:rsidR="00EE1AAE" w:rsidRPr="001A3F27" w:rsidRDefault="00650739" w:rsidP="00FD5606">
            <w:pPr>
              <w:jc w:val="both"/>
              <w:rPr>
                <w:rFonts w:ascii="Times New Roman" w:hAnsi="Times New Roman" w:cs="Times New Roman"/>
                <w:sz w:val="20"/>
                <w:szCs w:val="20"/>
                <w:lang w:val="bg-BG"/>
              </w:rPr>
            </w:pPr>
            <w:r w:rsidRPr="001A3F27">
              <w:rPr>
                <w:rFonts w:ascii="Times New Roman" w:hAnsi="Times New Roman" w:cs="Times New Roman"/>
                <w:sz w:val="20"/>
                <w:szCs w:val="20"/>
                <w:lang w:val="bg-BG"/>
              </w:rPr>
              <w:t>Броят специализирани технически ръководства за оценка на риска и оценка на докумeнтацията, предназначени за експертите от компетентните органи и операторите е все още недостатъчен и има нужда от обучение на администрацията по отношение на прилагането и налагането на нормативната база</w:t>
            </w:r>
          </w:p>
        </w:tc>
        <w:tc>
          <w:tcPr>
            <w:tcW w:w="4698" w:type="dxa"/>
          </w:tcPr>
          <w:p w14:paraId="2C275392" w14:textId="77777777" w:rsidR="00650739" w:rsidRPr="001A3F27" w:rsidRDefault="00650739" w:rsidP="00650739">
            <w:pPr>
              <w:spacing w:before="120" w:after="120" w:line="264" w:lineRule="auto"/>
              <w:jc w:val="both"/>
              <w:rPr>
                <w:rFonts w:ascii="Times New Roman" w:hAnsi="Times New Roman" w:cs="Times New Roman"/>
                <w:sz w:val="20"/>
                <w:szCs w:val="20"/>
                <w:lang w:val="bg-BG"/>
              </w:rPr>
            </w:pPr>
            <w:r w:rsidRPr="001A3F27">
              <w:rPr>
                <w:rFonts w:ascii="Times New Roman" w:hAnsi="Times New Roman" w:cs="Times New Roman"/>
                <w:sz w:val="20"/>
                <w:szCs w:val="20"/>
                <w:lang w:val="bg-BG"/>
              </w:rPr>
              <w:t>Необходимост от обучение и предоставяне на указания за индустрията по прилагане на новите регулаторни изисквания за управление на химикалите, съгласно сроковете за влизане в сила на отделните процедури.</w:t>
            </w:r>
          </w:p>
          <w:p w14:paraId="45495AFC" w14:textId="77777777" w:rsidR="00EE1AAE" w:rsidRPr="001A3F27" w:rsidRDefault="00EE1AAE" w:rsidP="00FD5606">
            <w:pPr>
              <w:jc w:val="both"/>
              <w:rPr>
                <w:rFonts w:ascii="Times New Roman" w:hAnsi="Times New Roman" w:cs="Times New Roman"/>
                <w:sz w:val="20"/>
                <w:szCs w:val="20"/>
                <w:lang w:val="bg-BG"/>
              </w:rPr>
            </w:pPr>
          </w:p>
        </w:tc>
      </w:tr>
      <w:tr w:rsidR="00EE1AAE" w:rsidRPr="004575FB" w14:paraId="5A5BBC1C" w14:textId="77777777" w:rsidTr="00EE1AAE">
        <w:tc>
          <w:tcPr>
            <w:tcW w:w="4698" w:type="dxa"/>
          </w:tcPr>
          <w:p w14:paraId="3BDBAEAF" w14:textId="77777777" w:rsidR="00650739" w:rsidRPr="001A3F27" w:rsidRDefault="00650739" w:rsidP="00650739">
            <w:pPr>
              <w:spacing w:before="120" w:after="120" w:line="264" w:lineRule="auto"/>
              <w:jc w:val="both"/>
              <w:rPr>
                <w:rFonts w:ascii="Times New Roman" w:hAnsi="Times New Roman" w:cs="Times New Roman"/>
                <w:sz w:val="20"/>
                <w:szCs w:val="20"/>
                <w:lang w:val="bg-BG"/>
              </w:rPr>
            </w:pPr>
            <w:r w:rsidRPr="001A3F27">
              <w:rPr>
                <w:rFonts w:ascii="Times New Roman" w:hAnsi="Times New Roman" w:cs="Times New Roman"/>
                <w:sz w:val="20"/>
                <w:szCs w:val="20"/>
                <w:lang w:val="bg-BG"/>
              </w:rPr>
              <w:t xml:space="preserve">Има липса на подготвени кадри и достатъчно финансови ресурси в малките и средните предприятия за изпълнение изискванията за регистрация и разрешаване на химикали по REACH. </w:t>
            </w:r>
          </w:p>
          <w:p w14:paraId="355D490D" w14:textId="77777777" w:rsidR="00EE1AAE" w:rsidRPr="001A3F27" w:rsidRDefault="00EE1AAE" w:rsidP="00FD5606">
            <w:pPr>
              <w:jc w:val="both"/>
              <w:rPr>
                <w:rFonts w:ascii="Times New Roman" w:hAnsi="Times New Roman" w:cs="Times New Roman"/>
                <w:sz w:val="20"/>
                <w:szCs w:val="20"/>
                <w:lang w:val="bg-BG"/>
              </w:rPr>
            </w:pPr>
          </w:p>
        </w:tc>
        <w:tc>
          <w:tcPr>
            <w:tcW w:w="4698" w:type="dxa"/>
          </w:tcPr>
          <w:p w14:paraId="56C839BC" w14:textId="75B5A5B4" w:rsidR="00EE1AAE" w:rsidRPr="001A3F27" w:rsidRDefault="00650739" w:rsidP="00FD5606">
            <w:pPr>
              <w:jc w:val="both"/>
              <w:rPr>
                <w:rFonts w:ascii="Times New Roman" w:hAnsi="Times New Roman" w:cs="Times New Roman"/>
                <w:sz w:val="20"/>
                <w:szCs w:val="20"/>
                <w:lang w:val="bg-BG"/>
              </w:rPr>
            </w:pPr>
            <w:r w:rsidRPr="001A3F27">
              <w:rPr>
                <w:rFonts w:ascii="Times New Roman" w:hAnsi="Times New Roman" w:cs="Times New Roman"/>
                <w:sz w:val="20"/>
                <w:szCs w:val="20"/>
                <w:lang w:val="bg-BG"/>
              </w:rPr>
              <w:t>Да се обмислят и приложат програми за обучение</w:t>
            </w:r>
          </w:p>
        </w:tc>
      </w:tr>
      <w:tr w:rsidR="00EE1AAE" w:rsidRPr="004575FB" w14:paraId="50E44DEB" w14:textId="77777777" w:rsidTr="00EE1AAE">
        <w:tc>
          <w:tcPr>
            <w:tcW w:w="4698" w:type="dxa"/>
          </w:tcPr>
          <w:p w14:paraId="3E94CDE0" w14:textId="77777777" w:rsidR="00BF1942" w:rsidRPr="001A3F27" w:rsidRDefault="00BF1942" w:rsidP="00BF1942">
            <w:pPr>
              <w:jc w:val="both"/>
              <w:rPr>
                <w:rFonts w:ascii="Times New Roman" w:hAnsi="Times New Roman" w:cs="Times New Roman"/>
                <w:sz w:val="20"/>
                <w:szCs w:val="20"/>
                <w:lang w:val="bg-BG"/>
              </w:rPr>
            </w:pPr>
            <w:r w:rsidRPr="001A3F27">
              <w:rPr>
                <w:rFonts w:ascii="Times New Roman" w:eastAsia="Batang" w:hAnsi="Times New Roman" w:cs="Times New Roman"/>
                <w:sz w:val="20"/>
                <w:szCs w:val="20"/>
                <w:lang w:val="bg-BG" w:eastAsia="ko-KR"/>
              </w:rPr>
              <w:t>Големите разходи за изпълнение на изискванията на законодателството в областта на управлението на химикалите, и по-специално разходите, необходими  за извършване на регистрация на химични вещества в ЕАХ, което се отразява на възможностите на задължените лица (микро, малки и средни предприятия) да спазват тези изисквания.</w:t>
            </w:r>
          </w:p>
          <w:p w14:paraId="0C4C5DB5" w14:textId="77777777" w:rsidR="00EE1AAE" w:rsidRPr="001A3F27" w:rsidRDefault="00EE1AAE" w:rsidP="00FD5606">
            <w:pPr>
              <w:jc w:val="both"/>
              <w:rPr>
                <w:rFonts w:ascii="Times New Roman" w:hAnsi="Times New Roman" w:cs="Times New Roman"/>
                <w:sz w:val="20"/>
                <w:szCs w:val="20"/>
                <w:lang w:val="bg-BG"/>
              </w:rPr>
            </w:pPr>
          </w:p>
        </w:tc>
        <w:tc>
          <w:tcPr>
            <w:tcW w:w="4698" w:type="dxa"/>
          </w:tcPr>
          <w:p w14:paraId="68B3B2EE" w14:textId="0AC5C0B5" w:rsidR="00EE1AAE" w:rsidRPr="001A3F27" w:rsidRDefault="00BF1942" w:rsidP="00FD5606">
            <w:pPr>
              <w:jc w:val="both"/>
              <w:rPr>
                <w:rFonts w:ascii="Times New Roman" w:hAnsi="Times New Roman" w:cs="Times New Roman"/>
                <w:sz w:val="20"/>
                <w:szCs w:val="20"/>
                <w:lang w:val="bg-BG"/>
              </w:rPr>
            </w:pPr>
            <w:r w:rsidRPr="001A3F27">
              <w:rPr>
                <w:rFonts w:ascii="Times New Roman" w:hAnsi="Times New Roman" w:cs="Times New Roman"/>
                <w:sz w:val="20"/>
                <w:szCs w:val="20"/>
                <w:lang w:val="bg-BG"/>
              </w:rPr>
              <w:t>Да се потърсят възможности за подкрепа на задължените лица чрез различни стимули при регистрация</w:t>
            </w:r>
          </w:p>
        </w:tc>
      </w:tr>
      <w:tr w:rsidR="00BF1942" w:rsidRPr="004575FB" w14:paraId="472A5019" w14:textId="77777777" w:rsidTr="00EE1AAE">
        <w:tc>
          <w:tcPr>
            <w:tcW w:w="4698" w:type="dxa"/>
          </w:tcPr>
          <w:p w14:paraId="51E7BB9D" w14:textId="4A6CABFE" w:rsidR="00BF1942" w:rsidRPr="001A3F27" w:rsidRDefault="00BF1942" w:rsidP="00BF1942">
            <w:pPr>
              <w:jc w:val="both"/>
              <w:rPr>
                <w:rFonts w:ascii="Times New Roman" w:eastAsia="Batang" w:hAnsi="Times New Roman" w:cs="Times New Roman"/>
                <w:sz w:val="20"/>
                <w:szCs w:val="20"/>
                <w:lang w:val="bg-BG" w:eastAsia="ko-KR"/>
              </w:rPr>
            </w:pPr>
            <w:r w:rsidRPr="001A3F27">
              <w:rPr>
                <w:rFonts w:ascii="Times New Roman" w:hAnsi="Times New Roman" w:cs="Times New Roman"/>
                <w:sz w:val="20"/>
                <w:szCs w:val="20"/>
                <w:lang w:val="bg-BG"/>
              </w:rPr>
              <w:t>Приблизително 30% от сигналите за опасни продукти на пазара са свързани с рискове в резултат на химикали, а само една трета от досиетата за регистрация на химическите вещества, регистрирани от сектора съгласно Регламента REACH, съответстват изцяло на изискванията за информация</w:t>
            </w:r>
            <w:r w:rsidRPr="001A3F27">
              <w:rPr>
                <w:rStyle w:val="FootnoteReference"/>
                <w:rFonts w:ascii="Times New Roman" w:hAnsi="Times New Roman" w:cs="Times New Roman"/>
                <w:sz w:val="20"/>
                <w:szCs w:val="20"/>
                <w:lang w:val="bg-BG"/>
              </w:rPr>
              <w:footnoteReference w:id="23"/>
            </w:r>
          </w:p>
        </w:tc>
        <w:tc>
          <w:tcPr>
            <w:tcW w:w="4698" w:type="dxa"/>
          </w:tcPr>
          <w:p w14:paraId="29E4E9DB" w14:textId="159FE0B6" w:rsidR="00B86385" w:rsidRPr="001A3F27" w:rsidRDefault="00B86385" w:rsidP="00B86385">
            <w:pPr>
              <w:pStyle w:val="Heading3"/>
              <w:ind w:left="0"/>
              <w:outlineLvl w:val="2"/>
              <w:rPr>
                <w:b w:val="0"/>
                <w:bCs w:val="0"/>
                <w:i w:val="0"/>
                <w:iCs w:val="0"/>
                <w:sz w:val="20"/>
                <w:szCs w:val="20"/>
              </w:rPr>
            </w:pPr>
            <w:r w:rsidRPr="001A3F27">
              <w:rPr>
                <w:b w:val="0"/>
                <w:bCs w:val="0"/>
                <w:i w:val="0"/>
                <w:iCs w:val="0"/>
                <w:sz w:val="20"/>
                <w:szCs w:val="20"/>
              </w:rPr>
              <w:t>Насърчава се подход на нулева толерантност по отношение на неспазването на изискванията и предложените действия за ускоряване на изпълнението и прилагането на законодателството в областта на химикалите. Настоятелно се препоръчва стриктното прилагане на принципа „няма данни, няма пазар“, вместо да се допускат на пазарите нерегулирани продукти и химикали.</w:t>
            </w:r>
          </w:p>
          <w:p w14:paraId="42155352" w14:textId="77777777" w:rsidR="00BF1942" w:rsidRPr="001A3F27" w:rsidRDefault="00BF1942" w:rsidP="00FD5606">
            <w:pPr>
              <w:jc w:val="both"/>
              <w:rPr>
                <w:rFonts w:ascii="Times New Roman" w:hAnsi="Times New Roman" w:cs="Times New Roman"/>
                <w:sz w:val="20"/>
                <w:szCs w:val="20"/>
                <w:lang w:val="bg-BG"/>
              </w:rPr>
            </w:pPr>
          </w:p>
        </w:tc>
      </w:tr>
    </w:tbl>
    <w:p w14:paraId="0B1D4F72" w14:textId="5298EFAD" w:rsidR="00650739" w:rsidRPr="004575FB" w:rsidRDefault="00650739" w:rsidP="00FD5606">
      <w:pPr>
        <w:jc w:val="both"/>
        <w:rPr>
          <w:rFonts w:ascii="Times New Roman" w:hAnsi="Times New Roman" w:cs="Times New Roman"/>
          <w:lang w:val="ru-RU"/>
        </w:rPr>
      </w:pPr>
    </w:p>
    <w:bookmarkEnd w:id="8"/>
    <w:p w14:paraId="542BE84C" w14:textId="337B7C4F" w:rsidR="00BF1942" w:rsidRPr="004575FB" w:rsidRDefault="00BF1942" w:rsidP="00FD5606">
      <w:pPr>
        <w:jc w:val="both"/>
        <w:rPr>
          <w:rFonts w:ascii="Arial" w:hAnsi="Arial" w:cs="Arial"/>
          <w:sz w:val="20"/>
          <w:szCs w:val="20"/>
          <w:lang w:val="ru-RU"/>
        </w:rPr>
      </w:pPr>
    </w:p>
    <w:p w14:paraId="235CAE3B" w14:textId="3D9FB999" w:rsidR="00BF1942" w:rsidRPr="004575FB" w:rsidRDefault="00BF1942" w:rsidP="00FD5606">
      <w:pPr>
        <w:jc w:val="both"/>
        <w:rPr>
          <w:rFonts w:ascii="Times New Roman" w:hAnsi="Times New Roman" w:cs="Times New Roman"/>
          <w:lang w:val="ru-RU"/>
        </w:rPr>
      </w:pPr>
    </w:p>
    <w:sectPr w:rsidR="00BF1942" w:rsidRPr="004575FB" w:rsidSect="00593DB7">
      <w:headerReference w:type="default" r:id="rId11"/>
      <w:footerReference w:type="default" r:id="rId12"/>
      <w:pgSz w:w="12240" w:h="15840"/>
      <w:pgMar w:top="1417" w:right="1417" w:bottom="1417" w:left="141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F2BD5B" w14:textId="77777777" w:rsidR="005818A5" w:rsidRDefault="005818A5" w:rsidP="00EB3E14">
      <w:pPr>
        <w:spacing w:after="0" w:line="240" w:lineRule="auto"/>
      </w:pPr>
      <w:r>
        <w:separator/>
      </w:r>
    </w:p>
  </w:endnote>
  <w:endnote w:type="continuationSeparator" w:id="0">
    <w:p w14:paraId="5F6139B5" w14:textId="77777777" w:rsidR="005818A5" w:rsidRDefault="005818A5" w:rsidP="00EB3E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altName w:val="Arial"/>
    <w:charset w:val="CC"/>
    <w:family w:val="swiss"/>
    <w:pitch w:val="variable"/>
    <w:sig w:usb0="E00002EF" w:usb1="4000205B" w:usb2="00000028"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9730758"/>
      <w:docPartObj>
        <w:docPartGallery w:val="Page Numbers (Bottom of Page)"/>
        <w:docPartUnique/>
      </w:docPartObj>
    </w:sdtPr>
    <w:sdtEndPr/>
    <w:sdtContent>
      <w:p w14:paraId="157A28F2" w14:textId="6C771CC5" w:rsidR="00ED1556" w:rsidRDefault="00ED1556" w:rsidP="00ED1556">
        <w:pPr>
          <w:pStyle w:val="Footer"/>
          <w:jc w:val="right"/>
          <w:rPr>
            <w:rFonts w:ascii="Times New Roman" w:hAnsi="Times New Roman" w:cs="Times New Roman"/>
            <w:color w:val="000000" w:themeColor="text1"/>
          </w:rPr>
        </w:pPr>
        <w:r>
          <w:rPr>
            <w:rFonts w:ascii="Times New Roman" w:hAnsi="Times New Roman" w:cs="Times New Roman"/>
            <w:color w:val="000000" w:themeColor="text1"/>
          </w:rPr>
          <w:fldChar w:fldCharType="begin"/>
        </w:r>
        <w:r>
          <w:rPr>
            <w:rFonts w:ascii="Times New Roman" w:hAnsi="Times New Roman" w:cs="Times New Roman"/>
            <w:color w:val="000000" w:themeColor="text1"/>
          </w:rPr>
          <w:instrText xml:space="preserve"> PAGE   \* MERGEFORMAT </w:instrText>
        </w:r>
        <w:r>
          <w:rPr>
            <w:rFonts w:ascii="Times New Roman" w:hAnsi="Times New Roman" w:cs="Times New Roman"/>
            <w:color w:val="000000" w:themeColor="text1"/>
          </w:rPr>
          <w:fldChar w:fldCharType="separate"/>
        </w:r>
        <w:r w:rsidR="004575FB">
          <w:rPr>
            <w:rFonts w:ascii="Times New Roman" w:hAnsi="Times New Roman" w:cs="Times New Roman"/>
            <w:noProof/>
            <w:color w:val="000000" w:themeColor="text1"/>
          </w:rPr>
          <w:t>15</w:t>
        </w:r>
        <w:r>
          <w:rPr>
            <w:rFonts w:ascii="Times New Roman" w:hAnsi="Times New Roman" w:cs="Times New Roman"/>
            <w:noProof/>
            <w:color w:val="000000" w:themeColor="text1"/>
          </w:rPr>
          <w:fldChar w:fldCharType="end"/>
        </w:r>
      </w:p>
    </w:sdtContent>
  </w:sdt>
  <w:p w14:paraId="568350CD" w14:textId="3BA55B40" w:rsidR="00952A5D" w:rsidRPr="00C75520" w:rsidRDefault="00C75520" w:rsidP="00C75520">
    <w:pPr>
      <w:jc w:val="center"/>
      <w:rPr>
        <w:rFonts w:ascii="Times New Roman" w:hAnsi="Times New Roman" w:cs="Times New Roman"/>
        <w:sz w:val="16"/>
        <w:szCs w:val="16"/>
        <w:lang w:val="ru-RU"/>
      </w:rPr>
    </w:pPr>
    <w:r w:rsidRPr="004575FB">
      <w:rPr>
        <w:rFonts w:ascii="Times New Roman" w:hAnsi="Times New Roman" w:cs="Times New Roman"/>
        <w:i/>
        <w:iCs/>
        <w:sz w:val="16"/>
        <w:szCs w:val="16"/>
        <w:lang w:val="ru-RU"/>
      </w:rPr>
      <w:t>Документът е изготвен по проект</w:t>
    </w:r>
    <w:r w:rsidRPr="00C75520">
      <w:rPr>
        <w:rFonts w:ascii="Times New Roman" w:hAnsi="Times New Roman" w:cs="Times New Roman"/>
        <w:i/>
        <w:iCs/>
        <w:sz w:val="16"/>
        <w:szCs w:val="16"/>
      </w:rPr>
      <w:t> </w:t>
    </w:r>
    <w:r w:rsidRPr="004575FB">
      <w:rPr>
        <w:rFonts w:ascii="Times New Roman" w:hAnsi="Times New Roman" w:cs="Times New Roman"/>
        <w:i/>
        <w:iCs/>
        <w:sz w:val="16"/>
        <w:szCs w:val="16"/>
        <w:lang w:val="ru-RU"/>
      </w:rPr>
      <w:t xml:space="preserve"> „Разработване на Национална стратегия за околна среда и План за действие към нея“, който се осъществява с финансовата подкрепа на Оперативна програма „Добро управление“, съфинансирана от Европейския съюз чрез Европейския социален фонд</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D8DF8" w14:textId="77777777" w:rsidR="005818A5" w:rsidRDefault="005818A5" w:rsidP="00EB3E14">
      <w:pPr>
        <w:spacing w:after="0" w:line="240" w:lineRule="auto"/>
      </w:pPr>
      <w:r>
        <w:separator/>
      </w:r>
    </w:p>
  </w:footnote>
  <w:footnote w:type="continuationSeparator" w:id="0">
    <w:p w14:paraId="72E59D1B" w14:textId="77777777" w:rsidR="005818A5" w:rsidRDefault="005818A5" w:rsidP="00EB3E14">
      <w:pPr>
        <w:spacing w:after="0" w:line="240" w:lineRule="auto"/>
      </w:pPr>
      <w:r>
        <w:continuationSeparator/>
      </w:r>
    </w:p>
  </w:footnote>
  <w:footnote w:id="1">
    <w:p w14:paraId="313D8DB8" w14:textId="45CFA32A" w:rsidR="000314E4" w:rsidRPr="00863834" w:rsidRDefault="002D0A91" w:rsidP="00490903">
      <w:pPr>
        <w:spacing w:after="0"/>
        <w:jc w:val="both"/>
        <w:rPr>
          <w:rFonts w:ascii="Times New Roman" w:hAnsi="Times New Roman" w:cs="Times New Roman"/>
          <w:sz w:val="16"/>
          <w:szCs w:val="16"/>
          <w:lang w:val="bg-BG"/>
        </w:rPr>
      </w:pPr>
      <w:r w:rsidRPr="00863834">
        <w:rPr>
          <w:rStyle w:val="FootnoteReference"/>
          <w:rFonts w:ascii="Times New Roman" w:hAnsi="Times New Roman" w:cs="Times New Roman"/>
          <w:sz w:val="16"/>
          <w:szCs w:val="16"/>
          <w:lang w:val="bg-BG"/>
        </w:rPr>
        <w:footnoteRef/>
      </w:r>
      <w:r w:rsidRPr="00863834">
        <w:rPr>
          <w:rFonts w:ascii="Times New Roman" w:hAnsi="Times New Roman" w:cs="Times New Roman"/>
          <w:sz w:val="16"/>
          <w:szCs w:val="16"/>
          <w:lang w:val="bg-BG"/>
        </w:rPr>
        <w:t xml:space="preserve"> Б</w:t>
      </w:r>
      <w:r w:rsidR="000314E4" w:rsidRPr="00863834">
        <w:rPr>
          <w:rFonts w:ascii="Times New Roman" w:hAnsi="Times New Roman" w:cs="Times New Roman"/>
          <w:sz w:val="16"/>
          <w:szCs w:val="16"/>
          <w:lang w:val="bg-BG"/>
        </w:rPr>
        <w:t xml:space="preserve">юджет за </w:t>
      </w:r>
      <w:r w:rsidRPr="00863834">
        <w:rPr>
          <w:rFonts w:ascii="Times New Roman" w:hAnsi="Times New Roman" w:cs="Times New Roman"/>
          <w:sz w:val="16"/>
          <w:szCs w:val="16"/>
          <w:lang w:val="bg-BG"/>
        </w:rPr>
        <w:t xml:space="preserve">2021 г. и </w:t>
      </w:r>
      <w:r w:rsidR="000314E4" w:rsidRPr="00863834">
        <w:rPr>
          <w:rFonts w:ascii="Times New Roman" w:hAnsi="Times New Roman" w:cs="Times New Roman"/>
          <w:sz w:val="16"/>
          <w:szCs w:val="16"/>
          <w:lang w:val="bg-BG"/>
        </w:rPr>
        <w:t xml:space="preserve">актуализирана бюджетна прогноза за </w:t>
      </w:r>
      <w:r w:rsidRPr="00863834">
        <w:rPr>
          <w:rFonts w:ascii="Times New Roman" w:hAnsi="Times New Roman" w:cs="Times New Roman"/>
          <w:sz w:val="16"/>
          <w:szCs w:val="16"/>
          <w:lang w:val="bg-BG"/>
        </w:rPr>
        <w:t xml:space="preserve">2022 </w:t>
      </w:r>
      <w:r w:rsidR="000314E4" w:rsidRPr="00863834">
        <w:rPr>
          <w:rFonts w:ascii="Times New Roman" w:hAnsi="Times New Roman" w:cs="Times New Roman"/>
          <w:sz w:val="16"/>
          <w:szCs w:val="16"/>
          <w:lang w:val="bg-BG"/>
        </w:rPr>
        <w:t>–</w:t>
      </w:r>
      <w:r w:rsidRPr="00863834">
        <w:rPr>
          <w:rFonts w:ascii="Times New Roman" w:hAnsi="Times New Roman" w:cs="Times New Roman"/>
          <w:sz w:val="16"/>
          <w:szCs w:val="16"/>
          <w:lang w:val="bg-BG"/>
        </w:rPr>
        <w:t xml:space="preserve"> 2023</w:t>
      </w:r>
      <w:r w:rsidR="000314E4" w:rsidRPr="00863834">
        <w:rPr>
          <w:rFonts w:ascii="Times New Roman" w:hAnsi="Times New Roman" w:cs="Times New Roman"/>
          <w:sz w:val="16"/>
          <w:szCs w:val="16"/>
          <w:lang w:val="bg-BG"/>
        </w:rPr>
        <w:t xml:space="preserve"> г. в програмен формат на </w:t>
      </w:r>
      <w:r w:rsidRPr="00863834">
        <w:rPr>
          <w:rFonts w:ascii="Times New Roman" w:hAnsi="Times New Roman" w:cs="Times New Roman"/>
          <w:sz w:val="16"/>
          <w:szCs w:val="16"/>
          <w:lang w:val="bg-BG"/>
        </w:rPr>
        <w:t>Министерство на околната</w:t>
      </w:r>
      <w:r w:rsidR="000314E4" w:rsidRPr="00863834">
        <w:rPr>
          <w:rFonts w:ascii="Times New Roman" w:hAnsi="Times New Roman" w:cs="Times New Roman"/>
          <w:sz w:val="16"/>
          <w:szCs w:val="16"/>
          <w:lang w:val="bg-BG"/>
        </w:rPr>
        <w:t xml:space="preserve"> </w:t>
      </w:r>
      <w:r w:rsidRPr="00863834">
        <w:rPr>
          <w:rFonts w:ascii="Times New Roman" w:hAnsi="Times New Roman" w:cs="Times New Roman"/>
          <w:sz w:val="16"/>
          <w:szCs w:val="16"/>
          <w:lang w:val="bg-BG"/>
        </w:rPr>
        <w:t xml:space="preserve"> среда и водите</w:t>
      </w:r>
      <w:r w:rsidR="000314E4" w:rsidRPr="00863834">
        <w:rPr>
          <w:rFonts w:ascii="Times New Roman" w:hAnsi="Times New Roman" w:cs="Times New Roman"/>
          <w:sz w:val="16"/>
          <w:szCs w:val="16"/>
          <w:lang w:val="bg-BG"/>
        </w:rPr>
        <w:t>, www.moew.government.bg</w:t>
      </w:r>
    </w:p>
  </w:footnote>
  <w:footnote w:id="2">
    <w:p w14:paraId="1AFDB558" w14:textId="333111E1" w:rsidR="007B207D" w:rsidRPr="00863834" w:rsidRDefault="007B207D" w:rsidP="00490903">
      <w:pPr>
        <w:spacing w:after="0"/>
        <w:rPr>
          <w:rFonts w:ascii="Times New Roman" w:eastAsia="Times New Roman" w:hAnsi="Times New Roman" w:cs="Times New Roman"/>
          <w:sz w:val="16"/>
          <w:szCs w:val="16"/>
          <w:lang w:val="bg-BG"/>
        </w:rPr>
      </w:pPr>
      <w:r w:rsidRPr="00863834">
        <w:rPr>
          <w:rStyle w:val="FootnoteReference"/>
          <w:lang w:val="bg-BG"/>
        </w:rPr>
        <w:footnoteRef/>
      </w:r>
      <w:r w:rsidRPr="00863834">
        <w:rPr>
          <w:lang w:val="bg-BG"/>
        </w:rPr>
        <w:t xml:space="preserve"> </w:t>
      </w:r>
      <w:r w:rsidRPr="00863834">
        <w:rPr>
          <w:rFonts w:ascii="Times New Roman" w:eastAsia="Times New Roman" w:hAnsi="Times New Roman" w:cs="Times New Roman"/>
          <w:sz w:val="16"/>
          <w:szCs w:val="16"/>
          <w:lang w:val="bg-BG"/>
        </w:rPr>
        <w:t>Околната среда в Европа – Състояние и перспективи 2020 г., https://www.eea.europa.eu/bg/publications/okolnata-sreda-v-evropa</w:t>
      </w:r>
    </w:p>
    <w:p w14:paraId="0817D445" w14:textId="7EA5801A" w:rsidR="007B207D" w:rsidRPr="007B207D" w:rsidRDefault="007B207D">
      <w:pPr>
        <w:pStyle w:val="FootnoteText"/>
        <w:rPr>
          <w:lang w:val="ru-RU"/>
        </w:rPr>
      </w:pPr>
    </w:p>
  </w:footnote>
  <w:footnote w:id="3">
    <w:p w14:paraId="1FACB0E1" w14:textId="26E44156" w:rsidR="00F07EBB" w:rsidRPr="00F07EBB" w:rsidRDefault="00F07EBB">
      <w:pPr>
        <w:pStyle w:val="FootnoteText"/>
        <w:rPr>
          <w:rFonts w:ascii="Times New Roman" w:hAnsi="Times New Roman"/>
          <w:sz w:val="16"/>
          <w:szCs w:val="16"/>
        </w:rPr>
      </w:pPr>
      <w:r w:rsidRPr="00F07EBB">
        <w:rPr>
          <w:rStyle w:val="FootnoteReference"/>
          <w:rFonts w:ascii="Times New Roman" w:hAnsi="Times New Roman"/>
          <w:sz w:val="16"/>
          <w:szCs w:val="16"/>
        </w:rPr>
        <w:footnoteRef/>
      </w:r>
      <w:r w:rsidRPr="00F07EBB">
        <w:rPr>
          <w:rFonts w:ascii="Times New Roman" w:hAnsi="Times New Roman"/>
          <w:sz w:val="16"/>
          <w:szCs w:val="16"/>
        </w:rPr>
        <w:t xml:space="preserve"> https://www.moew.government.bg/bg/konvenciya-minamata-otnosno-jivaka/</w:t>
      </w:r>
    </w:p>
  </w:footnote>
  <w:footnote w:id="4">
    <w:p w14:paraId="5BB12751" w14:textId="548EB39A" w:rsidR="00F07EBB" w:rsidRPr="00F07EBB" w:rsidRDefault="00F07EBB">
      <w:pPr>
        <w:pStyle w:val="FootnoteText"/>
        <w:rPr>
          <w:rFonts w:ascii="Times New Roman" w:hAnsi="Times New Roman"/>
          <w:sz w:val="16"/>
          <w:szCs w:val="16"/>
        </w:rPr>
      </w:pPr>
      <w:r w:rsidRPr="00F07EBB">
        <w:rPr>
          <w:rStyle w:val="FootnoteReference"/>
          <w:rFonts w:ascii="Times New Roman" w:hAnsi="Times New Roman"/>
          <w:sz w:val="16"/>
          <w:szCs w:val="16"/>
        </w:rPr>
        <w:footnoteRef/>
      </w:r>
      <w:r w:rsidRPr="00F07EBB">
        <w:rPr>
          <w:rFonts w:ascii="Times New Roman" w:hAnsi="Times New Roman"/>
          <w:sz w:val="16"/>
          <w:szCs w:val="16"/>
        </w:rPr>
        <w:t xml:space="preserve"> https://www.moew.government.bg/bg/prevantivna-dejnost/himichni-vestestva/zakonodatelstvo/konvencii/</w:t>
      </w:r>
    </w:p>
  </w:footnote>
  <w:footnote w:id="5">
    <w:p w14:paraId="6BE61DC4" w14:textId="1403F64A" w:rsidR="00F07EBB" w:rsidRPr="00F07EBB" w:rsidRDefault="00F07EBB">
      <w:pPr>
        <w:pStyle w:val="FootnoteText"/>
        <w:rPr>
          <w:rFonts w:ascii="Times New Roman" w:hAnsi="Times New Roman"/>
          <w:sz w:val="16"/>
          <w:szCs w:val="16"/>
        </w:rPr>
      </w:pPr>
      <w:r w:rsidRPr="00F07EBB">
        <w:rPr>
          <w:rStyle w:val="FootnoteReference"/>
          <w:rFonts w:ascii="Times New Roman" w:hAnsi="Times New Roman"/>
          <w:sz w:val="16"/>
          <w:szCs w:val="16"/>
        </w:rPr>
        <w:footnoteRef/>
      </w:r>
      <w:r w:rsidRPr="00F07EBB">
        <w:rPr>
          <w:rFonts w:ascii="Times New Roman" w:hAnsi="Times New Roman"/>
          <w:sz w:val="16"/>
          <w:szCs w:val="16"/>
        </w:rPr>
        <w:t xml:space="preserve"> https://www.moew.government.bg/bg/roterdamska-konvenciya/</w:t>
      </w:r>
    </w:p>
  </w:footnote>
  <w:footnote w:id="6">
    <w:p w14:paraId="0588754A" w14:textId="77777777" w:rsidR="004F6C38" w:rsidRPr="00FD5606" w:rsidRDefault="004F6C38" w:rsidP="004F6C38">
      <w:pPr>
        <w:pStyle w:val="FootnoteText"/>
        <w:rPr>
          <w:rFonts w:ascii="Times New Roman" w:hAnsi="Times New Roman"/>
          <w:sz w:val="16"/>
          <w:szCs w:val="16"/>
        </w:rPr>
      </w:pPr>
      <w:r>
        <w:rPr>
          <w:rStyle w:val="FootnoteReference"/>
        </w:rPr>
        <w:footnoteRef/>
      </w:r>
      <w:r>
        <w:t xml:space="preserve"> </w:t>
      </w:r>
      <w:r w:rsidRPr="00FD5606">
        <w:rPr>
          <w:rFonts w:ascii="Times New Roman" w:hAnsi="Times New Roman"/>
          <w:sz w:val="16"/>
          <w:szCs w:val="16"/>
        </w:rPr>
        <w:t>COM(2018) 116</w:t>
      </w:r>
    </w:p>
  </w:footnote>
  <w:footnote w:id="7">
    <w:p w14:paraId="3E0F0724" w14:textId="77777777" w:rsidR="006D7FED" w:rsidRPr="00277EE3" w:rsidRDefault="006D7FED" w:rsidP="006D7FED">
      <w:pPr>
        <w:pStyle w:val="FootnoteText"/>
        <w:rPr>
          <w:rFonts w:ascii="Times New Roman" w:hAnsi="Times New Roman"/>
          <w:color w:val="auto"/>
          <w:sz w:val="16"/>
          <w:szCs w:val="16"/>
        </w:rPr>
      </w:pPr>
      <w:r w:rsidRPr="00277EE3">
        <w:rPr>
          <w:rStyle w:val="FootnoteReference"/>
          <w:rFonts w:ascii="Times New Roman" w:hAnsi="Times New Roman"/>
          <w:color w:val="auto"/>
          <w:sz w:val="16"/>
          <w:szCs w:val="16"/>
        </w:rPr>
        <w:footnoteRef/>
      </w:r>
      <w:r w:rsidRPr="00277EE3">
        <w:rPr>
          <w:rFonts w:ascii="Times New Roman" w:hAnsi="Times New Roman"/>
          <w:color w:val="auto"/>
          <w:sz w:val="16"/>
          <w:szCs w:val="16"/>
        </w:rPr>
        <w:t xml:space="preserve"> Брюксел, 14.10.2020, COM 2020, 667 final</w:t>
      </w:r>
    </w:p>
  </w:footnote>
  <w:footnote w:id="8">
    <w:p w14:paraId="6191CDD0" w14:textId="77777777" w:rsidR="006D7FED" w:rsidRPr="00277EE3" w:rsidRDefault="006D7FED" w:rsidP="006D7FED">
      <w:pPr>
        <w:pStyle w:val="FootnoteText"/>
        <w:rPr>
          <w:rFonts w:ascii="Times New Roman" w:hAnsi="Times New Roman"/>
          <w:color w:val="auto"/>
          <w:sz w:val="16"/>
          <w:szCs w:val="16"/>
        </w:rPr>
      </w:pPr>
      <w:r w:rsidRPr="00277EE3">
        <w:rPr>
          <w:rStyle w:val="FootnoteReference"/>
          <w:rFonts w:ascii="Times New Roman" w:hAnsi="Times New Roman"/>
          <w:color w:val="auto"/>
          <w:sz w:val="16"/>
          <w:szCs w:val="16"/>
        </w:rPr>
        <w:footnoteRef/>
      </w:r>
      <w:r w:rsidRPr="00277EE3">
        <w:rPr>
          <w:rFonts w:ascii="Times New Roman" w:hAnsi="Times New Roman"/>
          <w:color w:val="auto"/>
          <w:sz w:val="16"/>
          <w:szCs w:val="16"/>
        </w:rPr>
        <w:t xml:space="preserve"> </w:t>
      </w:r>
      <w:hyperlink r:id="rId1" w:history="1">
        <w:r w:rsidRPr="00277EE3">
          <w:rPr>
            <w:rStyle w:val="Hyperlink"/>
            <w:rFonts w:ascii="Times New Roman" w:hAnsi="Times New Roman"/>
            <w:color w:val="auto"/>
            <w:sz w:val="16"/>
            <w:szCs w:val="16"/>
          </w:rPr>
          <w:t>COM(2001) 88</w:t>
        </w:r>
      </w:hyperlink>
      <w:r w:rsidRPr="00277EE3">
        <w:rPr>
          <w:rStyle w:val="Hyperlink"/>
          <w:rFonts w:ascii="Times New Roman" w:hAnsi="Times New Roman"/>
          <w:color w:val="auto"/>
          <w:sz w:val="16"/>
          <w:szCs w:val="16"/>
        </w:rPr>
        <w:t>.</w:t>
      </w:r>
    </w:p>
  </w:footnote>
  <w:footnote w:id="9">
    <w:p w14:paraId="5F672272" w14:textId="77777777" w:rsidR="002A4527" w:rsidRPr="00863834" w:rsidRDefault="002A4527" w:rsidP="002A4527">
      <w:pPr>
        <w:pStyle w:val="FootnoteText"/>
        <w:rPr>
          <w:rFonts w:ascii="Times New Roman" w:hAnsi="Times New Roman"/>
          <w:color w:val="auto"/>
          <w:sz w:val="16"/>
          <w:szCs w:val="16"/>
        </w:rPr>
      </w:pPr>
      <w:r w:rsidRPr="00863834">
        <w:rPr>
          <w:rStyle w:val="FootnoteReference"/>
          <w:rFonts w:ascii="Times New Roman" w:hAnsi="Times New Roman"/>
          <w:color w:val="auto"/>
          <w:sz w:val="16"/>
          <w:szCs w:val="16"/>
        </w:rPr>
        <w:footnoteRef/>
      </w:r>
      <w:r w:rsidRPr="00863834">
        <w:rPr>
          <w:rFonts w:ascii="Times New Roman" w:hAnsi="Times New Roman"/>
          <w:color w:val="auto"/>
          <w:sz w:val="16"/>
          <w:szCs w:val="16"/>
        </w:rPr>
        <w:t xml:space="preserve"> Европейски съвет по химическа промишленост (CEFIC), </w:t>
      </w:r>
      <w:r w:rsidRPr="00863834">
        <w:rPr>
          <w:rFonts w:ascii="Times New Roman" w:hAnsi="Times New Roman"/>
          <w:color w:val="auto"/>
          <w:sz w:val="16"/>
          <w:szCs w:val="16"/>
          <w:u w:val="single" w:color="0462C1"/>
        </w:rPr>
        <w:t>Facts and Figures Report</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(Доклад „Факти и</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цифри“),</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2020</w:t>
      </w:r>
      <w:r w:rsidRPr="00863834">
        <w:rPr>
          <w:rFonts w:ascii="Times New Roman" w:hAnsi="Times New Roman"/>
          <w:color w:val="auto"/>
          <w:spacing w:val="3"/>
          <w:sz w:val="16"/>
          <w:szCs w:val="16"/>
        </w:rPr>
        <w:t xml:space="preserve"> </w:t>
      </w:r>
      <w:r w:rsidRPr="00863834">
        <w:rPr>
          <w:rFonts w:ascii="Times New Roman" w:hAnsi="Times New Roman"/>
          <w:color w:val="auto"/>
          <w:sz w:val="16"/>
          <w:szCs w:val="16"/>
        </w:rPr>
        <w:t>г.</w:t>
      </w:r>
    </w:p>
  </w:footnote>
  <w:footnote w:id="10">
    <w:p w14:paraId="12A15CF6" w14:textId="77777777" w:rsidR="002A4527" w:rsidRPr="00863834" w:rsidRDefault="002A4527" w:rsidP="00926139">
      <w:pPr>
        <w:pStyle w:val="FootnoteText"/>
        <w:rPr>
          <w:rFonts w:ascii="Times New Roman" w:hAnsi="Times New Roman"/>
          <w:color w:val="auto"/>
          <w:sz w:val="16"/>
          <w:szCs w:val="16"/>
        </w:rPr>
      </w:pPr>
      <w:r w:rsidRPr="00863834">
        <w:rPr>
          <w:rStyle w:val="FootnoteReference"/>
          <w:rFonts w:ascii="Times New Roman" w:hAnsi="Times New Roman"/>
          <w:color w:val="auto"/>
          <w:sz w:val="16"/>
          <w:szCs w:val="16"/>
        </w:rPr>
        <w:footnoteRef/>
      </w:r>
      <w:r w:rsidRPr="00863834">
        <w:rPr>
          <w:rFonts w:ascii="Times New Roman" w:hAnsi="Times New Roman"/>
          <w:color w:val="auto"/>
          <w:sz w:val="16"/>
          <w:szCs w:val="16"/>
        </w:rPr>
        <w:t xml:space="preserve"> UNEP,</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u w:val="single" w:color="0462C1"/>
        </w:rPr>
        <w:t>Global</w:t>
      </w:r>
      <w:r w:rsidRPr="00863834">
        <w:rPr>
          <w:rFonts w:ascii="Times New Roman" w:hAnsi="Times New Roman"/>
          <w:color w:val="auto"/>
          <w:spacing w:val="-2"/>
          <w:sz w:val="16"/>
          <w:szCs w:val="16"/>
          <w:u w:val="single" w:color="0462C1"/>
        </w:rPr>
        <w:t xml:space="preserve"> </w:t>
      </w:r>
      <w:r w:rsidRPr="00863834">
        <w:rPr>
          <w:rFonts w:ascii="Times New Roman" w:hAnsi="Times New Roman"/>
          <w:color w:val="auto"/>
          <w:sz w:val="16"/>
          <w:szCs w:val="16"/>
          <w:u w:val="single" w:color="0462C1"/>
        </w:rPr>
        <w:t>Chemicals</w:t>
      </w:r>
      <w:r w:rsidRPr="00863834">
        <w:rPr>
          <w:rFonts w:ascii="Times New Roman" w:hAnsi="Times New Roman"/>
          <w:color w:val="auto"/>
          <w:spacing w:val="-3"/>
          <w:sz w:val="16"/>
          <w:szCs w:val="16"/>
          <w:u w:val="single" w:color="0462C1"/>
        </w:rPr>
        <w:t xml:space="preserve"> </w:t>
      </w:r>
      <w:r w:rsidRPr="00863834">
        <w:rPr>
          <w:rFonts w:ascii="Times New Roman" w:hAnsi="Times New Roman"/>
          <w:color w:val="auto"/>
          <w:sz w:val="16"/>
          <w:szCs w:val="16"/>
          <w:u w:val="single" w:color="0462C1"/>
        </w:rPr>
        <w:t>Outlook</w:t>
      </w:r>
      <w:r w:rsidRPr="00863834">
        <w:rPr>
          <w:rFonts w:ascii="Times New Roman" w:hAnsi="Times New Roman"/>
          <w:color w:val="auto"/>
          <w:spacing w:val="-3"/>
          <w:sz w:val="16"/>
          <w:szCs w:val="16"/>
          <w:u w:val="single" w:color="0462C1"/>
        </w:rPr>
        <w:t xml:space="preserve"> </w:t>
      </w:r>
      <w:r w:rsidRPr="00863834">
        <w:rPr>
          <w:rFonts w:ascii="Times New Roman" w:hAnsi="Times New Roman"/>
          <w:color w:val="auto"/>
          <w:sz w:val="16"/>
          <w:szCs w:val="16"/>
          <w:u w:val="single" w:color="0462C1"/>
        </w:rPr>
        <w:t>II</w:t>
      </w:r>
      <w:r w:rsidRPr="00863834">
        <w:rPr>
          <w:rFonts w:ascii="Times New Roman" w:hAnsi="Times New Roman"/>
          <w:color w:val="auto"/>
          <w:spacing w:val="5"/>
          <w:sz w:val="16"/>
          <w:szCs w:val="16"/>
        </w:rPr>
        <w:t xml:space="preserve"> </w:t>
      </w:r>
      <w:r w:rsidRPr="00863834">
        <w:rPr>
          <w:rFonts w:ascii="Times New Roman" w:hAnsi="Times New Roman"/>
          <w:color w:val="auto"/>
          <w:sz w:val="16"/>
          <w:szCs w:val="16"/>
        </w:rPr>
        <w:t>(Глобални</w:t>
      </w:r>
      <w:r w:rsidRPr="00863834">
        <w:rPr>
          <w:rFonts w:ascii="Times New Roman" w:hAnsi="Times New Roman"/>
          <w:color w:val="auto"/>
          <w:spacing w:val="-2"/>
          <w:sz w:val="16"/>
          <w:szCs w:val="16"/>
        </w:rPr>
        <w:t xml:space="preserve"> </w:t>
      </w:r>
      <w:r w:rsidRPr="00863834">
        <w:rPr>
          <w:rFonts w:ascii="Times New Roman" w:hAnsi="Times New Roman"/>
          <w:color w:val="auto"/>
          <w:sz w:val="16"/>
          <w:szCs w:val="16"/>
        </w:rPr>
        <w:t>перспективи</w:t>
      </w:r>
      <w:r w:rsidRPr="00863834">
        <w:rPr>
          <w:rFonts w:ascii="Times New Roman" w:hAnsi="Times New Roman"/>
          <w:color w:val="auto"/>
          <w:spacing w:val="-3"/>
          <w:sz w:val="16"/>
          <w:szCs w:val="16"/>
        </w:rPr>
        <w:t xml:space="preserve"> </w:t>
      </w:r>
      <w:r w:rsidRPr="00863834">
        <w:rPr>
          <w:rFonts w:ascii="Times New Roman" w:hAnsi="Times New Roman"/>
          <w:color w:val="auto"/>
          <w:sz w:val="16"/>
          <w:szCs w:val="16"/>
        </w:rPr>
        <w:t>за</w:t>
      </w:r>
      <w:r w:rsidRPr="00863834">
        <w:rPr>
          <w:rFonts w:ascii="Times New Roman" w:hAnsi="Times New Roman"/>
          <w:color w:val="auto"/>
          <w:spacing w:val="-3"/>
          <w:sz w:val="16"/>
          <w:szCs w:val="16"/>
        </w:rPr>
        <w:t xml:space="preserve"> </w:t>
      </w:r>
      <w:r w:rsidRPr="00863834">
        <w:rPr>
          <w:rFonts w:ascii="Times New Roman" w:hAnsi="Times New Roman"/>
          <w:color w:val="auto"/>
          <w:sz w:val="16"/>
          <w:szCs w:val="16"/>
        </w:rPr>
        <w:t>химикалите</w:t>
      </w:r>
      <w:r w:rsidRPr="00863834">
        <w:rPr>
          <w:rFonts w:ascii="Times New Roman" w:hAnsi="Times New Roman"/>
          <w:color w:val="auto"/>
          <w:spacing w:val="-2"/>
          <w:sz w:val="16"/>
          <w:szCs w:val="16"/>
        </w:rPr>
        <w:t xml:space="preserve"> </w:t>
      </w:r>
      <w:r w:rsidRPr="00863834">
        <w:rPr>
          <w:rFonts w:ascii="Times New Roman" w:hAnsi="Times New Roman"/>
          <w:color w:val="auto"/>
          <w:sz w:val="16"/>
          <w:szCs w:val="16"/>
        </w:rPr>
        <w:t>II),</w:t>
      </w:r>
      <w:r w:rsidRPr="00863834">
        <w:rPr>
          <w:rFonts w:ascii="Times New Roman" w:hAnsi="Times New Roman"/>
          <w:color w:val="auto"/>
          <w:spacing w:val="-3"/>
          <w:sz w:val="16"/>
          <w:szCs w:val="16"/>
        </w:rPr>
        <w:t xml:space="preserve"> </w:t>
      </w:r>
      <w:r w:rsidRPr="00863834">
        <w:rPr>
          <w:rFonts w:ascii="Times New Roman" w:hAnsi="Times New Roman"/>
          <w:color w:val="auto"/>
          <w:sz w:val="16"/>
          <w:szCs w:val="16"/>
        </w:rPr>
        <w:t>2019</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г.</w:t>
      </w:r>
    </w:p>
  </w:footnote>
  <w:footnote w:id="11">
    <w:p w14:paraId="53781246" w14:textId="77777777" w:rsidR="002A4527" w:rsidRPr="00863834" w:rsidRDefault="002A4527" w:rsidP="00926139">
      <w:pPr>
        <w:spacing w:after="0" w:line="240" w:lineRule="auto"/>
        <w:jc w:val="both"/>
        <w:rPr>
          <w:rFonts w:ascii="Times New Roman" w:hAnsi="Times New Roman" w:cs="Times New Roman"/>
          <w:sz w:val="16"/>
          <w:szCs w:val="16"/>
        </w:rPr>
      </w:pPr>
      <w:r w:rsidRPr="00863834">
        <w:rPr>
          <w:rStyle w:val="FootnoteReference"/>
          <w:rFonts w:ascii="Times New Roman" w:hAnsi="Times New Roman" w:cs="Times New Roman"/>
          <w:sz w:val="16"/>
          <w:szCs w:val="16"/>
        </w:rPr>
        <w:footnoteRef/>
      </w:r>
      <w:r w:rsidRPr="00863834">
        <w:rPr>
          <w:rFonts w:ascii="Times New Roman" w:hAnsi="Times New Roman" w:cs="Times New Roman"/>
          <w:sz w:val="16"/>
          <w:szCs w:val="16"/>
        </w:rPr>
        <w:t xml:space="preserve"> </w:t>
      </w:r>
      <w:r w:rsidRPr="00863834">
        <w:rPr>
          <w:rFonts w:ascii="Times New Roman" w:hAnsi="Times New Roman" w:cs="Times New Roman"/>
          <w:sz w:val="16"/>
          <w:szCs w:val="16"/>
          <w:u w:val="single" w:color="0462C1"/>
        </w:rPr>
        <w:t>The</w:t>
      </w:r>
      <w:r w:rsidRPr="00863834">
        <w:rPr>
          <w:rFonts w:ascii="Times New Roman" w:hAnsi="Times New Roman" w:cs="Times New Roman"/>
          <w:spacing w:val="-2"/>
          <w:sz w:val="16"/>
          <w:szCs w:val="16"/>
          <w:u w:val="single" w:color="0462C1"/>
        </w:rPr>
        <w:t xml:space="preserve"> </w:t>
      </w:r>
      <w:r w:rsidRPr="00863834">
        <w:rPr>
          <w:rFonts w:ascii="Times New Roman" w:hAnsi="Times New Roman" w:cs="Times New Roman"/>
          <w:sz w:val="16"/>
          <w:szCs w:val="16"/>
          <w:u w:val="single" w:color="0462C1"/>
        </w:rPr>
        <w:t>Lancet</w:t>
      </w:r>
      <w:r w:rsidRPr="00863834">
        <w:rPr>
          <w:rFonts w:ascii="Times New Roman" w:hAnsi="Times New Roman" w:cs="Times New Roman"/>
          <w:spacing w:val="-1"/>
          <w:sz w:val="16"/>
          <w:szCs w:val="16"/>
          <w:u w:val="single" w:color="0462C1"/>
        </w:rPr>
        <w:t xml:space="preserve"> </w:t>
      </w:r>
      <w:r w:rsidRPr="00863834">
        <w:rPr>
          <w:rFonts w:ascii="Times New Roman" w:hAnsi="Times New Roman" w:cs="Times New Roman"/>
          <w:sz w:val="16"/>
          <w:szCs w:val="16"/>
          <w:u w:val="single" w:color="0462C1"/>
        </w:rPr>
        <w:t>Commission on</w:t>
      </w:r>
      <w:r w:rsidRPr="00863834">
        <w:rPr>
          <w:rFonts w:ascii="Times New Roman" w:hAnsi="Times New Roman" w:cs="Times New Roman"/>
          <w:spacing w:val="-2"/>
          <w:sz w:val="16"/>
          <w:szCs w:val="16"/>
          <w:u w:val="single" w:color="0462C1"/>
        </w:rPr>
        <w:t xml:space="preserve"> </w:t>
      </w:r>
      <w:r w:rsidRPr="00863834">
        <w:rPr>
          <w:rFonts w:ascii="Times New Roman" w:hAnsi="Times New Roman" w:cs="Times New Roman"/>
          <w:sz w:val="16"/>
          <w:szCs w:val="16"/>
          <w:u w:val="single" w:color="0462C1"/>
        </w:rPr>
        <w:t>health and</w:t>
      </w:r>
      <w:r w:rsidRPr="00863834">
        <w:rPr>
          <w:rFonts w:ascii="Times New Roman" w:hAnsi="Times New Roman" w:cs="Times New Roman"/>
          <w:spacing w:val="-2"/>
          <w:sz w:val="16"/>
          <w:szCs w:val="16"/>
          <w:u w:val="single" w:color="0462C1"/>
        </w:rPr>
        <w:t xml:space="preserve"> </w:t>
      </w:r>
      <w:r w:rsidRPr="00863834">
        <w:rPr>
          <w:rFonts w:ascii="Times New Roman" w:hAnsi="Times New Roman" w:cs="Times New Roman"/>
          <w:sz w:val="16"/>
          <w:szCs w:val="16"/>
          <w:u w:val="single" w:color="0462C1"/>
        </w:rPr>
        <w:t>pollution</w:t>
      </w:r>
      <w:r w:rsidRPr="00863834">
        <w:rPr>
          <w:rFonts w:ascii="Times New Roman" w:hAnsi="Times New Roman" w:cs="Times New Roman"/>
          <w:sz w:val="16"/>
          <w:szCs w:val="16"/>
        </w:rPr>
        <w:t>,</w:t>
      </w:r>
      <w:r w:rsidRPr="00863834">
        <w:rPr>
          <w:rFonts w:ascii="Times New Roman" w:hAnsi="Times New Roman" w:cs="Times New Roman"/>
          <w:spacing w:val="-3"/>
          <w:sz w:val="16"/>
          <w:szCs w:val="16"/>
        </w:rPr>
        <w:t xml:space="preserve"> </w:t>
      </w:r>
      <w:r w:rsidRPr="00863834">
        <w:rPr>
          <w:rFonts w:ascii="Times New Roman" w:hAnsi="Times New Roman" w:cs="Times New Roman"/>
          <w:sz w:val="16"/>
          <w:szCs w:val="16"/>
        </w:rPr>
        <w:t>2017</w:t>
      </w:r>
      <w:r w:rsidRPr="00863834">
        <w:rPr>
          <w:rFonts w:ascii="Times New Roman" w:hAnsi="Times New Roman" w:cs="Times New Roman"/>
          <w:spacing w:val="-1"/>
          <w:sz w:val="16"/>
          <w:szCs w:val="16"/>
        </w:rPr>
        <w:t xml:space="preserve"> </w:t>
      </w:r>
      <w:r w:rsidRPr="00863834">
        <w:rPr>
          <w:rFonts w:ascii="Times New Roman" w:hAnsi="Times New Roman" w:cs="Times New Roman"/>
          <w:sz w:val="16"/>
          <w:szCs w:val="16"/>
        </w:rPr>
        <w:t>г.</w:t>
      </w:r>
    </w:p>
  </w:footnote>
  <w:footnote w:id="12">
    <w:p w14:paraId="4061D727" w14:textId="77777777" w:rsidR="002A4527" w:rsidRPr="00863834" w:rsidRDefault="002A4527" w:rsidP="00926139">
      <w:pPr>
        <w:spacing w:after="0" w:line="240" w:lineRule="auto"/>
        <w:jc w:val="both"/>
        <w:rPr>
          <w:rFonts w:ascii="Times New Roman" w:hAnsi="Times New Roman" w:cs="Times New Roman"/>
          <w:sz w:val="16"/>
          <w:szCs w:val="16"/>
          <w:lang w:val="ru-RU"/>
        </w:rPr>
      </w:pPr>
      <w:r w:rsidRPr="00863834">
        <w:rPr>
          <w:rStyle w:val="FootnoteReference"/>
          <w:rFonts w:ascii="Times New Roman" w:hAnsi="Times New Roman" w:cs="Times New Roman"/>
          <w:sz w:val="16"/>
          <w:szCs w:val="16"/>
        </w:rPr>
        <w:footnoteRef/>
      </w:r>
      <w:r w:rsidRPr="00863834">
        <w:rPr>
          <w:rFonts w:ascii="Times New Roman" w:hAnsi="Times New Roman" w:cs="Times New Roman"/>
          <w:sz w:val="16"/>
          <w:szCs w:val="16"/>
          <w:lang w:val="ru-RU"/>
        </w:rPr>
        <w:t xml:space="preserve"> Комитет</w:t>
      </w:r>
      <w:r w:rsidRPr="00863834">
        <w:rPr>
          <w:rFonts w:ascii="Times New Roman" w:hAnsi="Times New Roman" w:cs="Times New Roman"/>
          <w:spacing w:val="-4"/>
          <w:sz w:val="16"/>
          <w:szCs w:val="16"/>
          <w:lang w:val="ru-RU"/>
        </w:rPr>
        <w:t xml:space="preserve"> </w:t>
      </w:r>
      <w:r w:rsidRPr="00863834">
        <w:rPr>
          <w:rFonts w:ascii="Times New Roman" w:hAnsi="Times New Roman" w:cs="Times New Roman"/>
          <w:sz w:val="16"/>
          <w:szCs w:val="16"/>
          <w:lang w:val="ru-RU"/>
        </w:rPr>
        <w:t>за правата</w:t>
      </w:r>
      <w:r w:rsidRPr="00863834">
        <w:rPr>
          <w:rFonts w:ascii="Times New Roman" w:hAnsi="Times New Roman" w:cs="Times New Roman"/>
          <w:spacing w:val="-3"/>
          <w:sz w:val="16"/>
          <w:szCs w:val="16"/>
          <w:lang w:val="ru-RU"/>
        </w:rPr>
        <w:t xml:space="preserve"> </w:t>
      </w:r>
      <w:r w:rsidRPr="00863834">
        <w:rPr>
          <w:rFonts w:ascii="Times New Roman" w:hAnsi="Times New Roman" w:cs="Times New Roman"/>
          <w:sz w:val="16"/>
          <w:szCs w:val="16"/>
          <w:lang w:val="ru-RU"/>
        </w:rPr>
        <w:t>на</w:t>
      </w:r>
      <w:r w:rsidRPr="00863834">
        <w:rPr>
          <w:rFonts w:ascii="Times New Roman" w:hAnsi="Times New Roman" w:cs="Times New Roman"/>
          <w:spacing w:val="-4"/>
          <w:sz w:val="16"/>
          <w:szCs w:val="16"/>
          <w:lang w:val="ru-RU"/>
        </w:rPr>
        <w:t xml:space="preserve"> </w:t>
      </w:r>
      <w:r w:rsidRPr="00863834">
        <w:rPr>
          <w:rFonts w:ascii="Times New Roman" w:hAnsi="Times New Roman" w:cs="Times New Roman"/>
          <w:sz w:val="16"/>
          <w:szCs w:val="16"/>
          <w:lang w:val="ru-RU"/>
        </w:rPr>
        <w:t>човека,</w:t>
      </w:r>
      <w:r w:rsidRPr="00863834">
        <w:rPr>
          <w:rFonts w:ascii="Times New Roman" w:hAnsi="Times New Roman" w:cs="Times New Roman"/>
          <w:spacing w:val="-1"/>
          <w:sz w:val="16"/>
          <w:szCs w:val="16"/>
          <w:lang w:val="ru-RU"/>
        </w:rPr>
        <w:t xml:space="preserve"> </w:t>
      </w:r>
      <w:r w:rsidRPr="00863834">
        <w:rPr>
          <w:rFonts w:ascii="Times New Roman" w:hAnsi="Times New Roman" w:cs="Times New Roman"/>
          <w:sz w:val="16"/>
          <w:szCs w:val="16"/>
          <w:lang w:val="ru-RU"/>
        </w:rPr>
        <w:t>Общ</w:t>
      </w:r>
      <w:r w:rsidRPr="00863834">
        <w:rPr>
          <w:rFonts w:ascii="Times New Roman" w:hAnsi="Times New Roman" w:cs="Times New Roman"/>
          <w:spacing w:val="-4"/>
          <w:sz w:val="16"/>
          <w:szCs w:val="16"/>
          <w:lang w:val="ru-RU"/>
        </w:rPr>
        <w:t xml:space="preserve"> </w:t>
      </w:r>
      <w:r w:rsidRPr="00863834">
        <w:rPr>
          <w:rFonts w:ascii="Times New Roman" w:hAnsi="Times New Roman" w:cs="Times New Roman"/>
          <w:sz w:val="16"/>
          <w:szCs w:val="16"/>
          <w:lang w:val="ru-RU"/>
        </w:rPr>
        <w:t>коментар</w:t>
      </w:r>
      <w:r w:rsidRPr="00863834">
        <w:rPr>
          <w:rFonts w:ascii="Times New Roman" w:hAnsi="Times New Roman" w:cs="Times New Roman"/>
          <w:spacing w:val="-1"/>
          <w:sz w:val="16"/>
          <w:szCs w:val="16"/>
          <w:lang w:val="ru-RU"/>
        </w:rPr>
        <w:t xml:space="preserve"> </w:t>
      </w:r>
      <w:r w:rsidRPr="00863834">
        <w:rPr>
          <w:rFonts w:ascii="Times New Roman" w:hAnsi="Times New Roman" w:cs="Times New Roman"/>
          <w:sz w:val="16"/>
          <w:szCs w:val="16"/>
          <w:lang w:val="ru-RU"/>
        </w:rPr>
        <w:t>№ 36</w:t>
      </w:r>
      <w:r w:rsidRPr="00863834">
        <w:rPr>
          <w:rFonts w:ascii="Times New Roman" w:hAnsi="Times New Roman" w:cs="Times New Roman"/>
          <w:spacing w:val="-2"/>
          <w:sz w:val="16"/>
          <w:szCs w:val="16"/>
          <w:lang w:val="ru-RU"/>
        </w:rPr>
        <w:t xml:space="preserve"> </w:t>
      </w:r>
      <w:r w:rsidRPr="00863834">
        <w:rPr>
          <w:rFonts w:ascii="Times New Roman" w:hAnsi="Times New Roman" w:cs="Times New Roman"/>
          <w:sz w:val="16"/>
          <w:szCs w:val="16"/>
          <w:lang w:val="ru-RU"/>
        </w:rPr>
        <w:t>относно</w:t>
      </w:r>
      <w:r w:rsidRPr="00863834">
        <w:rPr>
          <w:rFonts w:ascii="Times New Roman" w:hAnsi="Times New Roman" w:cs="Times New Roman"/>
          <w:spacing w:val="-1"/>
          <w:sz w:val="16"/>
          <w:szCs w:val="16"/>
          <w:lang w:val="ru-RU"/>
        </w:rPr>
        <w:t xml:space="preserve"> </w:t>
      </w:r>
      <w:r w:rsidRPr="00863834">
        <w:rPr>
          <w:rFonts w:ascii="Times New Roman" w:hAnsi="Times New Roman" w:cs="Times New Roman"/>
          <w:sz w:val="16"/>
          <w:szCs w:val="16"/>
          <w:lang w:val="ru-RU"/>
        </w:rPr>
        <w:t>правото</w:t>
      </w:r>
      <w:r w:rsidRPr="00863834">
        <w:rPr>
          <w:rFonts w:ascii="Times New Roman" w:hAnsi="Times New Roman" w:cs="Times New Roman"/>
          <w:spacing w:val="-2"/>
          <w:sz w:val="16"/>
          <w:szCs w:val="16"/>
          <w:lang w:val="ru-RU"/>
        </w:rPr>
        <w:t xml:space="preserve"> </w:t>
      </w:r>
      <w:r w:rsidRPr="00863834">
        <w:rPr>
          <w:rFonts w:ascii="Times New Roman" w:hAnsi="Times New Roman" w:cs="Times New Roman"/>
          <w:sz w:val="16"/>
          <w:szCs w:val="16"/>
          <w:lang w:val="ru-RU"/>
        </w:rPr>
        <w:t>на</w:t>
      </w:r>
      <w:r w:rsidRPr="00863834">
        <w:rPr>
          <w:rFonts w:ascii="Times New Roman" w:hAnsi="Times New Roman" w:cs="Times New Roman"/>
          <w:spacing w:val="-2"/>
          <w:sz w:val="16"/>
          <w:szCs w:val="16"/>
          <w:lang w:val="ru-RU"/>
        </w:rPr>
        <w:t xml:space="preserve"> </w:t>
      </w:r>
      <w:r w:rsidRPr="00863834">
        <w:rPr>
          <w:rFonts w:ascii="Times New Roman" w:hAnsi="Times New Roman" w:cs="Times New Roman"/>
          <w:sz w:val="16"/>
          <w:szCs w:val="16"/>
          <w:lang w:val="ru-RU"/>
        </w:rPr>
        <w:t>живот,</w:t>
      </w:r>
      <w:r w:rsidRPr="00863834">
        <w:rPr>
          <w:rFonts w:ascii="Times New Roman" w:hAnsi="Times New Roman" w:cs="Times New Roman"/>
          <w:spacing w:val="-3"/>
          <w:sz w:val="16"/>
          <w:szCs w:val="16"/>
          <w:lang w:val="ru-RU"/>
        </w:rPr>
        <w:t xml:space="preserve"> </w:t>
      </w:r>
      <w:r w:rsidRPr="00863834">
        <w:rPr>
          <w:rFonts w:ascii="Times New Roman" w:hAnsi="Times New Roman" w:cs="Times New Roman"/>
          <w:sz w:val="16"/>
          <w:szCs w:val="16"/>
          <w:lang w:val="ru-RU"/>
        </w:rPr>
        <w:t>2018</w:t>
      </w:r>
      <w:r w:rsidRPr="00863834">
        <w:rPr>
          <w:rFonts w:ascii="Times New Roman" w:hAnsi="Times New Roman" w:cs="Times New Roman"/>
          <w:spacing w:val="2"/>
          <w:sz w:val="16"/>
          <w:szCs w:val="16"/>
          <w:lang w:val="ru-RU"/>
        </w:rPr>
        <w:t xml:space="preserve"> </w:t>
      </w:r>
      <w:r w:rsidRPr="00863834">
        <w:rPr>
          <w:rFonts w:ascii="Times New Roman" w:hAnsi="Times New Roman" w:cs="Times New Roman"/>
          <w:sz w:val="16"/>
          <w:szCs w:val="16"/>
          <w:lang w:val="ru-RU"/>
        </w:rPr>
        <w:t>г.</w:t>
      </w:r>
    </w:p>
  </w:footnote>
  <w:footnote w:id="13">
    <w:p w14:paraId="0487D734" w14:textId="77777777" w:rsidR="002A4527" w:rsidRPr="00863834" w:rsidRDefault="002A4527" w:rsidP="00926139">
      <w:pPr>
        <w:pStyle w:val="FootnoteText"/>
        <w:rPr>
          <w:rFonts w:ascii="Times New Roman" w:hAnsi="Times New Roman"/>
          <w:color w:val="auto"/>
          <w:sz w:val="16"/>
          <w:szCs w:val="16"/>
        </w:rPr>
      </w:pPr>
      <w:r w:rsidRPr="00863834">
        <w:rPr>
          <w:rStyle w:val="FootnoteReference"/>
          <w:rFonts w:ascii="Times New Roman" w:hAnsi="Times New Roman"/>
          <w:color w:val="auto"/>
          <w:sz w:val="16"/>
          <w:szCs w:val="16"/>
        </w:rPr>
        <w:footnoteRef/>
      </w:r>
      <w:r w:rsidRPr="00863834">
        <w:rPr>
          <w:rFonts w:ascii="Times New Roman" w:hAnsi="Times New Roman"/>
          <w:color w:val="auto"/>
          <w:sz w:val="16"/>
          <w:szCs w:val="16"/>
        </w:rPr>
        <w:t xml:space="preserve"> UNEP,</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u w:val="single" w:color="0462C1"/>
        </w:rPr>
        <w:t>Global</w:t>
      </w:r>
      <w:r w:rsidRPr="00863834">
        <w:rPr>
          <w:rFonts w:ascii="Times New Roman" w:hAnsi="Times New Roman"/>
          <w:color w:val="auto"/>
          <w:spacing w:val="-2"/>
          <w:sz w:val="16"/>
          <w:szCs w:val="16"/>
          <w:u w:val="single" w:color="0462C1"/>
        </w:rPr>
        <w:t xml:space="preserve"> </w:t>
      </w:r>
      <w:r w:rsidRPr="00863834">
        <w:rPr>
          <w:rFonts w:ascii="Times New Roman" w:hAnsi="Times New Roman"/>
          <w:color w:val="auto"/>
          <w:sz w:val="16"/>
          <w:szCs w:val="16"/>
          <w:u w:val="single" w:color="0462C1"/>
        </w:rPr>
        <w:t>Chemicals</w:t>
      </w:r>
      <w:r w:rsidRPr="00863834">
        <w:rPr>
          <w:rFonts w:ascii="Times New Roman" w:hAnsi="Times New Roman"/>
          <w:color w:val="auto"/>
          <w:spacing w:val="-3"/>
          <w:sz w:val="16"/>
          <w:szCs w:val="16"/>
          <w:u w:val="single" w:color="0462C1"/>
        </w:rPr>
        <w:t xml:space="preserve"> </w:t>
      </w:r>
      <w:r w:rsidRPr="00863834">
        <w:rPr>
          <w:rFonts w:ascii="Times New Roman" w:hAnsi="Times New Roman"/>
          <w:color w:val="auto"/>
          <w:sz w:val="16"/>
          <w:szCs w:val="16"/>
          <w:u w:val="single" w:color="0462C1"/>
        </w:rPr>
        <w:t>Outlook</w:t>
      </w:r>
      <w:r w:rsidRPr="00863834">
        <w:rPr>
          <w:rFonts w:ascii="Times New Roman" w:hAnsi="Times New Roman"/>
          <w:color w:val="auto"/>
          <w:spacing w:val="-3"/>
          <w:sz w:val="16"/>
          <w:szCs w:val="16"/>
          <w:u w:val="single" w:color="0462C1"/>
        </w:rPr>
        <w:t xml:space="preserve"> </w:t>
      </w:r>
      <w:r w:rsidRPr="00863834">
        <w:rPr>
          <w:rFonts w:ascii="Times New Roman" w:hAnsi="Times New Roman"/>
          <w:color w:val="auto"/>
          <w:sz w:val="16"/>
          <w:szCs w:val="16"/>
          <w:u w:val="single" w:color="0462C1"/>
        </w:rPr>
        <w:t>II</w:t>
      </w:r>
      <w:r w:rsidRPr="00863834">
        <w:rPr>
          <w:rFonts w:ascii="Times New Roman" w:hAnsi="Times New Roman"/>
          <w:color w:val="auto"/>
          <w:spacing w:val="5"/>
          <w:sz w:val="16"/>
          <w:szCs w:val="16"/>
        </w:rPr>
        <w:t xml:space="preserve"> </w:t>
      </w:r>
      <w:r w:rsidRPr="00863834">
        <w:rPr>
          <w:rFonts w:ascii="Times New Roman" w:hAnsi="Times New Roman"/>
          <w:color w:val="auto"/>
          <w:sz w:val="16"/>
          <w:szCs w:val="16"/>
        </w:rPr>
        <w:t>(Глобални</w:t>
      </w:r>
      <w:r w:rsidRPr="00863834">
        <w:rPr>
          <w:rFonts w:ascii="Times New Roman" w:hAnsi="Times New Roman"/>
          <w:color w:val="auto"/>
          <w:spacing w:val="-2"/>
          <w:sz w:val="16"/>
          <w:szCs w:val="16"/>
        </w:rPr>
        <w:t xml:space="preserve"> </w:t>
      </w:r>
      <w:r w:rsidRPr="00863834">
        <w:rPr>
          <w:rFonts w:ascii="Times New Roman" w:hAnsi="Times New Roman"/>
          <w:color w:val="auto"/>
          <w:sz w:val="16"/>
          <w:szCs w:val="16"/>
        </w:rPr>
        <w:t>перспективи</w:t>
      </w:r>
      <w:r w:rsidRPr="00863834">
        <w:rPr>
          <w:rFonts w:ascii="Times New Roman" w:hAnsi="Times New Roman"/>
          <w:color w:val="auto"/>
          <w:spacing w:val="-3"/>
          <w:sz w:val="16"/>
          <w:szCs w:val="16"/>
        </w:rPr>
        <w:t xml:space="preserve"> </w:t>
      </w:r>
      <w:r w:rsidRPr="00863834">
        <w:rPr>
          <w:rFonts w:ascii="Times New Roman" w:hAnsi="Times New Roman"/>
          <w:color w:val="auto"/>
          <w:sz w:val="16"/>
          <w:szCs w:val="16"/>
        </w:rPr>
        <w:t>за</w:t>
      </w:r>
      <w:r w:rsidRPr="00863834">
        <w:rPr>
          <w:rFonts w:ascii="Times New Roman" w:hAnsi="Times New Roman"/>
          <w:color w:val="auto"/>
          <w:spacing w:val="-3"/>
          <w:sz w:val="16"/>
          <w:szCs w:val="16"/>
        </w:rPr>
        <w:t xml:space="preserve"> </w:t>
      </w:r>
      <w:r w:rsidRPr="00863834">
        <w:rPr>
          <w:rFonts w:ascii="Times New Roman" w:hAnsi="Times New Roman"/>
          <w:color w:val="auto"/>
          <w:sz w:val="16"/>
          <w:szCs w:val="16"/>
        </w:rPr>
        <w:t>химикалите</w:t>
      </w:r>
      <w:r w:rsidRPr="00863834">
        <w:rPr>
          <w:rFonts w:ascii="Times New Roman" w:hAnsi="Times New Roman"/>
          <w:color w:val="auto"/>
          <w:spacing w:val="-2"/>
          <w:sz w:val="16"/>
          <w:szCs w:val="16"/>
        </w:rPr>
        <w:t xml:space="preserve"> </w:t>
      </w:r>
      <w:r w:rsidRPr="00863834">
        <w:rPr>
          <w:rFonts w:ascii="Times New Roman" w:hAnsi="Times New Roman"/>
          <w:color w:val="auto"/>
          <w:sz w:val="16"/>
          <w:szCs w:val="16"/>
        </w:rPr>
        <w:t>II),</w:t>
      </w:r>
      <w:r w:rsidRPr="00863834">
        <w:rPr>
          <w:rFonts w:ascii="Times New Roman" w:hAnsi="Times New Roman"/>
          <w:color w:val="auto"/>
          <w:spacing w:val="-3"/>
          <w:sz w:val="16"/>
          <w:szCs w:val="16"/>
        </w:rPr>
        <w:t xml:space="preserve"> </w:t>
      </w:r>
      <w:r w:rsidRPr="00863834">
        <w:rPr>
          <w:rFonts w:ascii="Times New Roman" w:hAnsi="Times New Roman"/>
          <w:color w:val="auto"/>
          <w:sz w:val="16"/>
          <w:szCs w:val="16"/>
        </w:rPr>
        <w:t>2019</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г.</w:t>
      </w:r>
    </w:p>
  </w:footnote>
  <w:footnote w:id="14">
    <w:p w14:paraId="4946D0B2" w14:textId="72EB6629" w:rsidR="002A4527" w:rsidRPr="00863834" w:rsidRDefault="002A4527" w:rsidP="00926139">
      <w:pPr>
        <w:pStyle w:val="FootnoteText"/>
        <w:rPr>
          <w:rFonts w:ascii="Times New Roman" w:hAnsi="Times New Roman"/>
          <w:color w:val="auto"/>
          <w:sz w:val="16"/>
          <w:szCs w:val="16"/>
        </w:rPr>
      </w:pPr>
      <w:r w:rsidRPr="00863834">
        <w:rPr>
          <w:rStyle w:val="FootnoteReference"/>
          <w:rFonts w:ascii="Times New Roman" w:hAnsi="Times New Roman"/>
          <w:color w:val="auto"/>
          <w:sz w:val="16"/>
          <w:szCs w:val="16"/>
        </w:rPr>
        <w:footnoteRef/>
      </w:r>
      <w:r w:rsidRPr="00863834">
        <w:rPr>
          <w:rFonts w:ascii="Times New Roman" w:hAnsi="Times New Roman"/>
          <w:color w:val="auto"/>
          <w:sz w:val="16"/>
          <w:szCs w:val="16"/>
        </w:rPr>
        <w:t xml:space="preserve"> Въз основа на целта на SAICM за 2006 г., цел 12.4 от Програмата на ООН до 2030 г. за устойчиво</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развитие гласи: „До 2020 г. да се постигне екологосъобразно управление на химикалите и всички отпадъци</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през целия им жизнен цикъл в съответствие с договорените международни рамки и значително да се намали</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отделянето им във въздуха, водите и почвите с цел да се сведе до минимум неблагоприятното им въздействие</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върху</w:t>
      </w:r>
      <w:r w:rsidRPr="00863834">
        <w:rPr>
          <w:rFonts w:ascii="Times New Roman" w:hAnsi="Times New Roman"/>
          <w:color w:val="auto"/>
          <w:spacing w:val="-5"/>
          <w:sz w:val="16"/>
          <w:szCs w:val="16"/>
        </w:rPr>
        <w:t xml:space="preserve"> </w:t>
      </w:r>
      <w:r w:rsidRPr="00863834">
        <w:rPr>
          <w:rFonts w:ascii="Times New Roman" w:hAnsi="Times New Roman"/>
          <w:color w:val="auto"/>
          <w:sz w:val="16"/>
          <w:szCs w:val="16"/>
        </w:rPr>
        <w:t>здравето</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на</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човека</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и</w:t>
      </w:r>
      <w:r w:rsidRPr="00863834">
        <w:rPr>
          <w:rFonts w:ascii="Times New Roman" w:hAnsi="Times New Roman"/>
          <w:color w:val="auto"/>
          <w:spacing w:val="-1"/>
          <w:sz w:val="16"/>
          <w:szCs w:val="16"/>
        </w:rPr>
        <w:t xml:space="preserve"> </w:t>
      </w:r>
      <w:r w:rsidRPr="00863834">
        <w:rPr>
          <w:rFonts w:ascii="Times New Roman" w:hAnsi="Times New Roman"/>
          <w:color w:val="auto"/>
          <w:sz w:val="16"/>
          <w:szCs w:val="16"/>
        </w:rPr>
        <w:t>околната среда“.</w:t>
      </w:r>
    </w:p>
  </w:footnote>
  <w:footnote w:id="15">
    <w:p w14:paraId="562E6837" w14:textId="5B50ADEF" w:rsidR="002A4527" w:rsidRPr="00863834" w:rsidRDefault="002A4527" w:rsidP="003263CD">
      <w:pPr>
        <w:spacing w:after="0" w:line="240" w:lineRule="auto"/>
        <w:rPr>
          <w:rFonts w:ascii="Times New Roman" w:hAnsi="Times New Roman" w:cs="Times New Roman"/>
          <w:sz w:val="16"/>
          <w:szCs w:val="16"/>
          <w:lang w:val="bg-BG"/>
        </w:rPr>
      </w:pPr>
      <w:r w:rsidRPr="00863834">
        <w:rPr>
          <w:rStyle w:val="FootnoteReference"/>
          <w:rFonts w:ascii="Times New Roman" w:hAnsi="Times New Roman" w:cs="Times New Roman"/>
          <w:sz w:val="16"/>
          <w:szCs w:val="16"/>
        </w:rPr>
        <w:footnoteRef/>
      </w:r>
      <w:r w:rsidRPr="00863834">
        <w:rPr>
          <w:rFonts w:ascii="Times New Roman" w:hAnsi="Times New Roman" w:cs="Times New Roman"/>
          <w:sz w:val="16"/>
          <w:szCs w:val="16"/>
          <w:lang w:val="bg-BG"/>
        </w:rPr>
        <w:t xml:space="preserve"> </w:t>
      </w:r>
      <w:r w:rsidRPr="00863834">
        <w:rPr>
          <w:rFonts w:ascii="Times New Roman" w:hAnsi="Times New Roman" w:cs="Times New Roman"/>
          <w:sz w:val="16"/>
          <w:szCs w:val="16"/>
        </w:rPr>
        <w:t>UNEP</w:t>
      </w:r>
      <w:r w:rsidRPr="00863834">
        <w:rPr>
          <w:rFonts w:ascii="Times New Roman" w:hAnsi="Times New Roman" w:cs="Times New Roman"/>
          <w:sz w:val="16"/>
          <w:szCs w:val="16"/>
          <w:lang w:val="bg-BG"/>
        </w:rPr>
        <w:t>,</w:t>
      </w:r>
      <w:r w:rsidRPr="00863834">
        <w:rPr>
          <w:rFonts w:ascii="Times New Roman" w:hAnsi="Times New Roman" w:cs="Times New Roman"/>
          <w:spacing w:val="-4"/>
          <w:sz w:val="16"/>
          <w:szCs w:val="16"/>
          <w:lang w:val="bg-BG"/>
        </w:rPr>
        <w:t xml:space="preserve"> </w:t>
      </w:r>
      <w:r w:rsidRPr="00863834">
        <w:rPr>
          <w:rFonts w:ascii="Times New Roman" w:hAnsi="Times New Roman" w:cs="Times New Roman"/>
          <w:sz w:val="16"/>
          <w:szCs w:val="16"/>
          <w:u w:val="single" w:color="0462C1"/>
        </w:rPr>
        <w:t>Global</w:t>
      </w:r>
      <w:r w:rsidRPr="00863834">
        <w:rPr>
          <w:rFonts w:ascii="Times New Roman" w:hAnsi="Times New Roman" w:cs="Times New Roman"/>
          <w:spacing w:val="-2"/>
          <w:sz w:val="16"/>
          <w:szCs w:val="16"/>
          <w:u w:val="single" w:color="0462C1"/>
          <w:lang w:val="bg-BG"/>
        </w:rPr>
        <w:t xml:space="preserve"> </w:t>
      </w:r>
      <w:r w:rsidRPr="00863834">
        <w:rPr>
          <w:rFonts w:ascii="Times New Roman" w:hAnsi="Times New Roman" w:cs="Times New Roman"/>
          <w:sz w:val="16"/>
          <w:szCs w:val="16"/>
          <w:u w:val="single" w:color="0462C1"/>
        </w:rPr>
        <w:t>Chemicals</w:t>
      </w:r>
      <w:r w:rsidRPr="00863834">
        <w:rPr>
          <w:rFonts w:ascii="Times New Roman" w:hAnsi="Times New Roman" w:cs="Times New Roman"/>
          <w:spacing w:val="-2"/>
          <w:sz w:val="16"/>
          <w:szCs w:val="16"/>
          <w:u w:val="single" w:color="0462C1"/>
          <w:lang w:val="bg-BG"/>
        </w:rPr>
        <w:t xml:space="preserve"> </w:t>
      </w:r>
      <w:r w:rsidRPr="00863834">
        <w:rPr>
          <w:rFonts w:ascii="Times New Roman" w:hAnsi="Times New Roman" w:cs="Times New Roman"/>
          <w:sz w:val="16"/>
          <w:szCs w:val="16"/>
          <w:u w:val="single" w:color="0462C1"/>
        </w:rPr>
        <w:t>Outlook</w:t>
      </w:r>
      <w:r w:rsidRPr="00863834">
        <w:rPr>
          <w:rFonts w:ascii="Times New Roman" w:hAnsi="Times New Roman" w:cs="Times New Roman"/>
          <w:spacing w:val="-2"/>
          <w:sz w:val="16"/>
          <w:szCs w:val="16"/>
          <w:u w:val="single" w:color="0462C1"/>
          <w:lang w:val="bg-BG"/>
        </w:rPr>
        <w:t xml:space="preserve"> </w:t>
      </w:r>
      <w:r w:rsidRPr="00863834">
        <w:rPr>
          <w:rFonts w:ascii="Times New Roman" w:hAnsi="Times New Roman" w:cs="Times New Roman"/>
          <w:sz w:val="16"/>
          <w:szCs w:val="16"/>
          <w:u w:val="single" w:color="0462C1"/>
        </w:rPr>
        <w:t>II</w:t>
      </w:r>
      <w:r w:rsidRPr="00863834">
        <w:rPr>
          <w:rFonts w:ascii="Times New Roman" w:hAnsi="Times New Roman" w:cs="Times New Roman"/>
          <w:spacing w:val="5"/>
          <w:sz w:val="16"/>
          <w:szCs w:val="16"/>
          <w:lang w:val="bg-BG"/>
        </w:rPr>
        <w:t xml:space="preserve"> </w:t>
      </w:r>
      <w:r w:rsidRPr="00863834">
        <w:rPr>
          <w:rFonts w:ascii="Times New Roman" w:hAnsi="Times New Roman" w:cs="Times New Roman"/>
          <w:sz w:val="16"/>
          <w:szCs w:val="16"/>
          <w:lang w:val="bg-BG"/>
        </w:rPr>
        <w:t>(Глобални</w:t>
      </w:r>
      <w:r w:rsidRPr="00863834">
        <w:rPr>
          <w:rFonts w:ascii="Times New Roman" w:hAnsi="Times New Roman" w:cs="Times New Roman"/>
          <w:spacing w:val="-1"/>
          <w:sz w:val="16"/>
          <w:szCs w:val="16"/>
          <w:lang w:val="bg-BG"/>
        </w:rPr>
        <w:t xml:space="preserve"> </w:t>
      </w:r>
      <w:r w:rsidRPr="00863834">
        <w:rPr>
          <w:rFonts w:ascii="Times New Roman" w:hAnsi="Times New Roman" w:cs="Times New Roman"/>
          <w:sz w:val="16"/>
          <w:szCs w:val="16"/>
          <w:lang w:val="bg-BG"/>
        </w:rPr>
        <w:t>перспективи</w:t>
      </w:r>
      <w:r w:rsidRPr="00863834">
        <w:rPr>
          <w:rFonts w:ascii="Times New Roman" w:hAnsi="Times New Roman" w:cs="Times New Roman"/>
          <w:spacing w:val="-1"/>
          <w:sz w:val="16"/>
          <w:szCs w:val="16"/>
          <w:lang w:val="bg-BG"/>
        </w:rPr>
        <w:t xml:space="preserve"> </w:t>
      </w:r>
      <w:r w:rsidRPr="00863834">
        <w:rPr>
          <w:rFonts w:ascii="Times New Roman" w:hAnsi="Times New Roman" w:cs="Times New Roman"/>
          <w:sz w:val="16"/>
          <w:szCs w:val="16"/>
          <w:lang w:val="bg-BG"/>
        </w:rPr>
        <w:t>за</w:t>
      </w:r>
      <w:r w:rsidRPr="00863834">
        <w:rPr>
          <w:rFonts w:ascii="Times New Roman" w:hAnsi="Times New Roman" w:cs="Times New Roman"/>
          <w:spacing w:val="-2"/>
          <w:sz w:val="16"/>
          <w:szCs w:val="16"/>
          <w:lang w:val="bg-BG"/>
        </w:rPr>
        <w:t xml:space="preserve"> </w:t>
      </w:r>
      <w:r w:rsidRPr="00863834">
        <w:rPr>
          <w:rFonts w:ascii="Times New Roman" w:hAnsi="Times New Roman" w:cs="Times New Roman"/>
          <w:sz w:val="16"/>
          <w:szCs w:val="16"/>
          <w:lang w:val="bg-BG"/>
        </w:rPr>
        <w:t>химикалите</w:t>
      </w:r>
      <w:r w:rsidRPr="00863834">
        <w:rPr>
          <w:rFonts w:ascii="Times New Roman" w:hAnsi="Times New Roman" w:cs="Times New Roman"/>
          <w:spacing w:val="-2"/>
          <w:sz w:val="16"/>
          <w:szCs w:val="16"/>
          <w:lang w:val="bg-BG"/>
        </w:rPr>
        <w:t xml:space="preserve"> </w:t>
      </w:r>
      <w:r w:rsidRPr="00863834">
        <w:rPr>
          <w:rFonts w:ascii="Times New Roman" w:hAnsi="Times New Roman" w:cs="Times New Roman"/>
          <w:sz w:val="16"/>
          <w:szCs w:val="16"/>
        </w:rPr>
        <w:t>II</w:t>
      </w:r>
      <w:r w:rsidRPr="00863834">
        <w:rPr>
          <w:rFonts w:ascii="Times New Roman" w:hAnsi="Times New Roman" w:cs="Times New Roman"/>
          <w:sz w:val="16"/>
          <w:szCs w:val="16"/>
          <w:lang w:val="bg-BG"/>
        </w:rPr>
        <w:t>),</w:t>
      </w:r>
      <w:r w:rsidRPr="00863834">
        <w:rPr>
          <w:rFonts w:ascii="Times New Roman" w:hAnsi="Times New Roman" w:cs="Times New Roman"/>
          <w:spacing w:val="-2"/>
          <w:sz w:val="16"/>
          <w:szCs w:val="16"/>
          <w:lang w:val="bg-BG"/>
        </w:rPr>
        <w:t xml:space="preserve"> </w:t>
      </w:r>
      <w:r w:rsidRPr="00863834">
        <w:rPr>
          <w:rFonts w:ascii="Times New Roman" w:hAnsi="Times New Roman" w:cs="Times New Roman"/>
          <w:sz w:val="16"/>
          <w:szCs w:val="16"/>
          <w:lang w:val="bg-BG"/>
        </w:rPr>
        <w:t>2019</w:t>
      </w:r>
      <w:r w:rsidRPr="00863834">
        <w:rPr>
          <w:rFonts w:ascii="Times New Roman" w:hAnsi="Times New Roman" w:cs="Times New Roman"/>
          <w:spacing w:val="-1"/>
          <w:sz w:val="16"/>
          <w:szCs w:val="16"/>
          <w:lang w:val="bg-BG"/>
        </w:rPr>
        <w:t xml:space="preserve"> </w:t>
      </w:r>
      <w:r w:rsidRPr="00863834">
        <w:rPr>
          <w:rFonts w:ascii="Times New Roman" w:hAnsi="Times New Roman" w:cs="Times New Roman"/>
          <w:sz w:val="16"/>
          <w:szCs w:val="16"/>
          <w:lang w:val="bg-BG"/>
        </w:rPr>
        <w:t>г.</w:t>
      </w:r>
    </w:p>
  </w:footnote>
  <w:footnote w:id="16">
    <w:p w14:paraId="3B08E4E2" w14:textId="56E25585" w:rsidR="002C16A4" w:rsidRPr="00490903" w:rsidRDefault="00037BA0" w:rsidP="002C16A4">
      <w:pPr>
        <w:widowControl w:val="0"/>
        <w:spacing w:before="120" w:after="120"/>
        <w:ind w:right="-98"/>
        <w:jc w:val="both"/>
        <w:rPr>
          <w:rFonts w:ascii="Times New Roman" w:hAnsi="Times New Roman"/>
          <w:sz w:val="16"/>
          <w:szCs w:val="16"/>
          <w:lang w:val="ru-RU"/>
        </w:rPr>
      </w:pPr>
      <w:r w:rsidRPr="00037BA0">
        <w:rPr>
          <w:rStyle w:val="FootnoteReference"/>
          <w:rFonts w:ascii="Times New Roman" w:hAnsi="Times New Roman" w:cs="Times New Roman"/>
          <w:sz w:val="16"/>
          <w:szCs w:val="16"/>
        </w:rPr>
        <w:footnoteRef/>
      </w:r>
      <w:r w:rsidRPr="00490903">
        <w:rPr>
          <w:rFonts w:ascii="Times New Roman" w:hAnsi="Times New Roman" w:cs="Times New Roman"/>
          <w:sz w:val="16"/>
          <w:szCs w:val="16"/>
          <w:lang w:val="ru-RU"/>
        </w:rPr>
        <w:t xml:space="preserve"> Институционалната организация е подробно описана в Приложени</w:t>
      </w:r>
      <w:r w:rsidR="004B41E3">
        <w:rPr>
          <w:rFonts w:ascii="Times New Roman" w:hAnsi="Times New Roman" w:cs="Times New Roman"/>
          <w:sz w:val="16"/>
          <w:szCs w:val="16"/>
          <w:lang w:val="ru-RU"/>
        </w:rPr>
        <w:t>е</w:t>
      </w:r>
      <w:r w:rsidRPr="00490903">
        <w:rPr>
          <w:rFonts w:ascii="Times New Roman" w:hAnsi="Times New Roman" w:cs="Times New Roman"/>
          <w:sz w:val="16"/>
          <w:szCs w:val="16"/>
          <w:lang w:val="ru-RU"/>
        </w:rPr>
        <w:t xml:space="preserve"> Анализ на управлението</w:t>
      </w:r>
      <w:r w:rsidR="002C16A4" w:rsidRPr="00490903">
        <w:rPr>
          <w:rFonts w:ascii="Times New Roman" w:hAnsi="Times New Roman"/>
          <w:sz w:val="16"/>
          <w:szCs w:val="16"/>
          <w:lang w:val="ru-RU"/>
        </w:rPr>
        <w:t xml:space="preserve">. </w:t>
      </w:r>
    </w:p>
    <w:p w14:paraId="67B56652" w14:textId="1976A5D8" w:rsidR="00037BA0" w:rsidRPr="004575FB" w:rsidRDefault="002C16A4" w:rsidP="004575FB">
      <w:pPr>
        <w:widowControl w:val="0"/>
        <w:spacing w:before="120" w:after="120"/>
        <w:ind w:right="-98"/>
        <w:jc w:val="both"/>
        <w:rPr>
          <w:rFonts w:ascii="Times New Roman" w:eastAsia="Batang" w:hAnsi="Times New Roman" w:cs="Times New Roman"/>
          <w:sz w:val="16"/>
          <w:szCs w:val="16"/>
          <w:lang w:val="ru-RU"/>
        </w:rPr>
      </w:pPr>
      <w:r w:rsidRPr="002C16A4">
        <w:rPr>
          <w:rFonts w:ascii="Times New Roman" w:eastAsia="Batang" w:hAnsi="Times New Roman" w:cs="Times New Roman"/>
          <w:sz w:val="16"/>
          <w:szCs w:val="16"/>
          <w:lang w:val="bg-BG"/>
        </w:rPr>
        <w:t xml:space="preserve">За изпълнението на тези функции и бюджетната програма основно отговорни са дирекция ЕООВОСПЗ и поделенията на МОСВ – ИАОС, РИОСВ, БД и ДНП, съгласно функциите, определени с устройствените правилници на МОСВ и неговите структури. </w:t>
      </w:r>
      <w:r w:rsidRPr="002C16A4">
        <w:rPr>
          <w:rFonts w:ascii="Times New Roman" w:eastAsia="Batang" w:hAnsi="Times New Roman" w:cs="Times New Roman"/>
          <w:sz w:val="16"/>
          <w:szCs w:val="16"/>
          <w:lang w:val="bg-BG"/>
        </w:rPr>
        <w:t>За осъществяване на някои от функциите си, компетентните органи по екологичното законодателство взаимодействат с държавни органи, областните управители и общинските администрации.</w:t>
      </w:r>
      <w:r>
        <w:rPr>
          <w:rFonts w:ascii="Times New Roman" w:eastAsia="Batang" w:hAnsi="Times New Roman" w:cs="Times New Roman"/>
          <w:sz w:val="16"/>
          <w:szCs w:val="16"/>
          <w:lang w:val="bg-BG"/>
        </w:rPr>
        <w:t xml:space="preserve">, </w:t>
      </w:r>
      <w:r>
        <w:rPr>
          <w:rFonts w:ascii="Times New Roman" w:eastAsia="Batang" w:hAnsi="Times New Roman" w:cs="Times New Roman"/>
          <w:sz w:val="16"/>
          <w:szCs w:val="16"/>
        </w:rPr>
        <w:t>www</w:t>
      </w:r>
      <w:r w:rsidRPr="00490903">
        <w:rPr>
          <w:rFonts w:ascii="Times New Roman" w:eastAsia="Batang" w:hAnsi="Times New Roman" w:cs="Times New Roman"/>
          <w:sz w:val="16"/>
          <w:szCs w:val="16"/>
          <w:lang w:val="ru-RU"/>
        </w:rPr>
        <w:t>.</w:t>
      </w:r>
      <w:r>
        <w:rPr>
          <w:rFonts w:ascii="Times New Roman" w:eastAsia="Batang" w:hAnsi="Times New Roman" w:cs="Times New Roman"/>
          <w:sz w:val="16"/>
          <w:szCs w:val="16"/>
        </w:rPr>
        <w:t>moew</w:t>
      </w:r>
      <w:r w:rsidRPr="00490903">
        <w:rPr>
          <w:rFonts w:ascii="Times New Roman" w:eastAsia="Batang" w:hAnsi="Times New Roman" w:cs="Times New Roman"/>
          <w:sz w:val="16"/>
          <w:szCs w:val="16"/>
          <w:lang w:val="ru-RU"/>
        </w:rPr>
        <w:t>.</w:t>
      </w:r>
      <w:r>
        <w:rPr>
          <w:rFonts w:ascii="Times New Roman" w:eastAsia="Batang" w:hAnsi="Times New Roman" w:cs="Times New Roman"/>
          <w:sz w:val="16"/>
          <w:szCs w:val="16"/>
        </w:rPr>
        <w:t>government</w:t>
      </w:r>
      <w:r w:rsidRPr="00490903">
        <w:rPr>
          <w:rFonts w:ascii="Times New Roman" w:eastAsia="Batang" w:hAnsi="Times New Roman" w:cs="Times New Roman"/>
          <w:sz w:val="16"/>
          <w:szCs w:val="16"/>
          <w:lang w:val="ru-RU"/>
        </w:rPr>
        <w:t>.</w:t>
      </w:r>
      <w:r>
        <w:rPr>
          <w:rFonts w:ascii="Times New Roman" w:eastAsia="Batang" w:hAnsi="Times New Roman" w:cs="Times New Roman"/>
          <w:sz w:val="16"/>
          <w:szCs w:val="16"/>
        </w:rPr>
        <w:t>bg</w:t>
      </w:r>
      <w:bookmarkStart w:id="6" w:name="_GoBack"/>
    </w:p>
    <w:bookmarkEnd w:id="6"/>
  </w:footnote>
  <w:footnote w:id="17">
    <w:p w14:paraId="3D620A2E" w14:textId="0FC06991" w:rsidR="004575FB" w:rsidRDefault="004575FB">
      <w:pPr>
        <w:pStyle w:val="FootnoteText"/>
      </w:pPr>
      <w:r w:rsidRPr="004575FB">
        <w:rPr>
          <w:rStyle w:val="FootnoteReference"/>
          <w:rFonts w:ascii="Times New Roman" w:hAnsi="Times New Roman"/>
          <w:sz w:val="16"/>
          <w:szCs w:val="16"/>
        </w:rPr>
        <w:footnoteRef/>
      </w:r>
      <w:r w:rsidRPr="004575FB">
        <w:rPr>
          <w:rFonts w:ascii="Times New Roman" w:hAnsi="Times New Roman"/>
          <w:sz w:val="16"/>
          <w:szCs w:val="16"/>
        </w:rPr>
        <w:t xml:space="preserve"> </w:t>
      </w:r>
      <w:hyperlink r:id="rId2" w:history="1">
        <w:r w:rsidRPr="004575FB">
          <w:rPr>
            <w:rStyle w:val="Hyperlink"/>
            <w:rFonts w:ascii="Times New Roman" w:eastAsiaTheme="majorEastAsia" w:hAnsi="Times New Roman"/>
            <w:sz w:val="16"/>
            <w:szCs w:val="16"/>
            <w:shd w:val="clear" w:color="auto" w:fill="FFFFFF"/>
          </w:rPr>
          <w:t>Директива 2012/19/ЕC на Европейския парламент и на Съвета от 4 юли 2012 година относно отпадъци от електрическо и електронно оборудване (ОЕЕО)</w:t>
        </w:r>
      </w:hyperlink>
    </w:p>
  </w:footnote>
  <w:footnote w:id="18">
    <w:p w14:paraId="6A2478DE" w14:textId="77777777" w:rsidR="00BD246F" w:rsidRPr="00D9741F" w:rsidRDefault="00BD246F" w:rsidP="00BD246F">
      <w:pPr>
        <w:pStyle w:val="FootnoteText"/>
        <w:rPr>
          <w:rFonts w:ascii="Times New Roman" w:hAnsi="Times New Roman"/>
          <w:color w:val="auto"/>
          <w:sz w:val="16"/>
          <w:szCs w:val="16"/>
        </w:rPr>
      </w:pPr>
      <w:r w:rsidRPr="00D9741F">
        <w:rPr>
          <w:rStyle w:val="FootnoteReference"/>
          <w:rFonts w:ascii="Times New Roman" w:hAnsi="Times New Roman"/>
          <w:color w:val="auto"/>
          <w:sz w:val="16"/>
          <w:szCs w:val="16"/>
        </w:rPr>
        <w:footnoteRef/>
      </w:r>
      <w:r w:rsidRPr="00D9741F">
        <w:rPr>
          <w:rFonts w:ascii="Times New Roman" w:hAnsi="Times New Roman"/>
          <w:color w:val="auto"/>
          <w:sz w:val="16"/>
          <w:szCs w:val="16"/>
        </w:rPr>
        <w:t xml:space="preserve"> </w:t>
      </w:r>
      <w:r w:rsidRPr="00D9741F">
        <w:rPr>
          <w:rFonts w:ascii="Times New Roman" w:hAnsi="Times New Roman"/>
          <w:color w:val="auto"/>
          <w:sz w:val="16"/>
          <w:szCs w:val="16"/>
        </w:rPr>
        <w:t>По данни на МОСВ за 2018 г.</w:t>
      </w:r>
    </w:p>
  </w:footnote>
  <w:footnote w:id="19">
    <w:p w14:paraId="49141FA1" w14:textId="0736DE0D" w:rsidR="00A21BD3" w:rsidRPr="00CE38C4" w:rsidRDefault="00A21BD3" w:rsidP="00A21BD3">
      <w:pPr>
        <w:pStyle w:val="FootnoteText"/>
        <w:rPr>
          <w:rFonts w:ascii="Times New Roman" w:hAnsi="Times New Roman"/>
          <w:color w:val="000000" w:themeColor="text1"/>
          <w:sz w:val="16"/>
          <w:szCs w:val="16"/>
        </w:rPr>
      </w:pPr>
      <w:r w:rsidRPr="00CE38C4">
        <w:rPr>
          <w:rStyle w:val="FootnoteReference"/>
          <w:rFonts w:ascii="Times New Roman" w:hAnsi="Times New Roman"/>
          <w:color w:val="000000" w:themeColor="text1"/>
          <w:sz w:val="16"/>
          <w:szCs w:val="16"/>
        </w:rPr>
        <w:footnoteRef/>
      </w:r>
      <w:r w:rsidRPr="00CE38C4">
        <w:rPr>
          <w:rFonts w:ascii="Times New Roman" w:hAnsi="Times New Roman"/>
          <w:color w:val="000000" w:themeColor="text1"/>
          <w:sz w:val="16"/>
          <w:szCs w:val="16"/>
        </w:rPr>
        <w:t xml:space="preserve"> </w:t>
      </w:r>
      <w:r w:rsidRPr="00CE38C4">
        <w:rPr>
          <w:rStyle w:val="Strong"/>
          <w:rFonts w:ascii="Times New Roman" w:hAnsi="Times New Roman"/>
          <w:color w:val="000000" w:themeColor="text1"/>
          <w:sz w:val="16"/>
          <w:szCs w:val="16"/>
          <w:lang w:val="ru-RU"/>
        </w:rPr>
        <w:t>на 25.04.2016 г. в „Арсенал“ АД, завод 3, гр. Казанлък и на 30.06.2016 г. в „Арсенал“ АД, завод 4, гр. Мъглиж.</w:t>
      </w:r>
    </w:p>
  </w:footnote>
  <w:footnote w:id="20">
    <w:p w14:paraId="22A06383" w14:textId="7C340DFF" w:rsidR="00EE1AAE" w:rsidRPr="00EE1AAE" w:rsidRDefault="00EE1AAE">
      <w:pPr>
        <w:pStyle w:val="FootnoteText"/>
        <w:rPr>
          <w:rFonts w:ascii="Times New Roman" w:hAnsi="Times New Roman"/>
          <w:sz w:val="16"/>
          <w:szCs w:val="16"/>
        </w:rPr>
      </w:pPr>
      <w:r w:rsidRPr="00EE1AAE">
        <w:rPr>
          <w:rStyle w:val="FootnoteReference"/>
          <w:rFonts w:ascii="Times New Roman" w:hAnsi="Times New Roman"/>
          <w:sz w:val="16"/>
          <w:szCs w:val="16"/>
        </w:rPr>
        <w:footnoteRef/>
      </w:r>
      <w:r w:rsidRPr="00EE1AAE">
        <w:rPr>
          <w:rFonts w:ascii="Times New Roman" w:hAnsi="Times New Roman"/>
          <w:sz w:val="16"/>
          <w:szCs w:val="16"/>
        </w:rPr>
        <w:t xml:space="preserve"> Анализ химични вещества и препарати за нуждите на изготвяне на НСОС, 2018 г.</w:t>
      </w:r>
    </w:p>
  </w:footnote>
  <w:footnote w:id="21">
    <w:p w14:paraId="0962DA49" w14:textId="7F2C9149" w:rsidR="00EE1AAE" w:rsidRPr="00EE1AAE" w:rsidRDefault="00EE1AAE">
      <w:pPr>
        <w:pStyle w:val="FootnoteText"/>
        <w:rPr>
          <w:rFonts w:ascii="Times New Roman" w:hAnsi="Times New Roman"/>
          <w:sz w:val="16"/>
          <w:szCs w:val="16"/>
        </w:rPr>
      </w:pPr>
      <w:r w:rsidRPr="00EE1AAE">
        <w:rPr>
          <w:rStyle w:val="FootnoteReference"/>
          <w:rFonts w:ascii="Times New Roman" w:hAnsi="Times New Roman"/>
          <w:sz w:val="16"/>
          <w:szCs w:val="16"/>
        </w:rPr>
        <w:footnoteRef/>
      </w:r>
      <w:r w:rsidRPr="00EE1AAE">
        <w:rPr>
          <w:rFonts w:ascii="Times New Roman" w:hAnsi="Times New Roman"/>
          <w:sz w:val="16"/>
          <w:szCs w:val="16"/>
        </w:rPr>
        <w:t xml:space="preserve"> </w:t>
      </w:r>
      <w:hyperlink r:id="rId3" w:history="1">
        <w:r w:rsidRPr="00EE1AAE">
          <w:rPr>
            <w:rStyle w:val="Hyperlink"/>
            <w:rFonts w:ascii="Times New Roman" w:hAnsi="Times New Roman"/>
            <w:sz w:val="16"/>
            <w:szCs w:val="16"/>
          </w:rPr>
          <w:t>https://www.eea.europa.eu/publications/soer-2020/chapter-10_soer2020-chemical-pollution/view</w:t>
        </w:r>
      </w:hyperlink>
      <w:r w:rsidRPr="00EE1AAE">
        <w:rPr>
          <w:rFonts w:ascii="Times New Roman" w:hAnsi="Times New Roman"/>
          <w:sz w:val="16"/>
          <w:szCs w:val="16"/>
        </w:rPr>
        <w:t>, Доклад за състоянието на околната среда в ЕС, 2020</w:t>
      </w:r>
    </w:p>
  </w:footnote>
  <w:footnote w:id="22">
    <w:p w14:paraId="0F1BF913" w14:textId="77777777" w:rsidR="00650739" w:rsidRPr="00FD5606" w:rsidRDefault="00650739" w:rsidP="00650739">
      <w:pPr>
        <w:pStyle w:val="FootnoteText"/>
        <w:rPr>
          <w:rFonts w:ascii="Times New Roman" w:hAnsi="Times New Roman"/>
          <w:sz w:val="16"/>
          <w:szCs w:val="16"/>
        </w:rPr>
      </w:pPr>
      <w:r>
        <w:rPr>
          <w:rStyle w:val="FootnoteReference"/>
        </w:rPr>
        <w:footnoteRef/>
      </w:r>
      <w:r>
        <w:t xml:space="preserve"> </w:t>
      </w:r>
      <w:r w:rsidRPr="00FD5606">
        <w:rPr>
          <w:rFonts w:ascii="Times New Roman" w:hAnsi="Times New Roman"/>
          <w:sz w:val="16"/>
          <w:szCs w:val="16"/>
        </w:rPr>
        <w:t>COM(2018) 116</w:t>
      </w:r>
    </w:p>
  </w:footnote>
  <w:footnote w:id="23">
    <w:p w14:paraId="460F1B52" w14:textId="602951D5" w:rsidR="00BF1942" w:rsidRPr="001A3F27" w:rsidRDefault="00BF1942">
      <w:pPr>
        <w:pStyle w:val="FootnoteText"/>
        <w:rPr>
          <w:rFonts w:ascii="Times New Roman" w:hAnsi="Times New Roman"/>
          <w:sz w:val="16"/>
          <w:szCs w:val="16"/>
        </w:rPr>
      </w:pPr>
      <w:r w:rsidRPr="001A3F27">
        <w:rPr>
          <w:rStyle w:val="FootnoteReference"/>
          <w:rFonts w:ascii="Times New Roman" w:hAnsi="Times New Roman"/>
          <w:sz w:val="16"/>
          <w:szCs w:val="16"/>
        </w:rPr>
        <w:footnoteRef/>
      </w:r>
      <w:r w:rsidRPr="001A3F27">
        <w:rPr>
          <w:rFonts w:ascii="Times New Roman" w:hAnsi="Times New Roman"/>
          <w:sz w:val="16"/>
          <w:szCs w:val="16"/>
        </w:rPr>
        <w:t xml:space="preserve"> </w:t>
      </w:r>
      <w:r w:rsidR="001A3F27">
        <w:rPr>
          <w:rFonts w:ascii="Times New Roman" w:hAnsi="Times New Roman"/>
          <w:sz w:val="16"/>
          <w:szCs w:val="16"/>
        </w:rPr>
        <w:t>С</w:t>
      </w:r>
      <w:r w:rsidRPr="001A3F27">
        <w:rPr>
          <w:rFonts w:ascii="Times New Roman" w:hAnsi="Times New Roman"/>
          <w:sz w:val="16"/>
          <w:szCs w:val="16"/>
        </w:rPr>
        <w:t xml:space="preserve">тратегия за устойчивост </w:t>
      </w:r>
      <w:r w:rsidR="001A3F27">
        <w:rPr>
          <w:rFonts w:ascii="Times New Roman" w:hAnsi="Times New Roman"/>
          <w:sz w:val="16"/>
          <w:szCs w:val="16"/>
        </w:rPr>
        <w:t xml:space="preserve">в областта на </w:t>
      </w:r>
      <w:r w:rsidRPr="001A3F27">
        <w:rPr>
          <w:rFonts w:ascii="Times New Roman" w:hAnsi="Times New Roman"/>
          <w:sz w:val="16"/>
          <w:szCs w:val="16"/>
        </w:rPr>
        <w:t>химикалите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C4D6F3" w14:textId="0243B6F5" w:rsidR="00ED1556" w:rsidRDefault="00ED1556" w:rsidP="00ED1556">
    <w:pPr>
      <w:tabs>
        <w:tab w:val="left" w:pos="2618"/>
        <w:tab w:val="left" w:pos="4376"/>
        <w:tab w:val="center" w:pos="4680"/>
        <w:tab w:val="right" w:pos="9360"/>
      </w:tabs>
      <w:spacing w:after="0" w:line="240" w:lineRule="auto"/>
      <w:rPr>
        <w:rFonts w:ascii="Calibri" w:eastAsia="Calibri" w:hAnsi="Calibri" w:cs="Times New Roman"/>
        <w:b/>
        <w:lang w:eastAsia="bg-BG"/>
      </w:rPr>
    </w:pPr>
    <w:r>
      <w:rPr>
        <w:rFonts w:ascii="Calibri" w:eastAsia="Calibri" w:hAnsi="Calibri" w:cs="Times New Roman"/>
        <w:noProof/>
      </w:rPr>
      <w:drawing>
        <wp:inline distT="0" distB="0" distL="0" distR="0" wp14:anchorId="790319EF" wp14:editId="25672D5B">
          <wp:extent cx="1874520" cy="78486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4520" cy="784860"/>
                  </a:xfrm>
                  <a:prstGeom prst="rect">
                    <a:avLst/>
                  </a:prstGeom>
                  <a:noFill/>
                  <a:ln>
                    <a:noFill/>
                  </a:ln>
                </pic:spPr>
              </pic:pic>
            </a:graphicData>
          </a:graphic>
        </wp:inline>
      </w:drawing>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b/>
        <w:lang w:eastAsia="bg-BG"/>
      </w:rPr>
      <w:tab/>
    </w:r>
    <w:r>
      <w:rPr>
        <w:rFonts w:ascii="Calibri" w:eastAsia="Calibri" w:hAnsi="Calibri" w:cs="Times New Roman"/>
        <w:noProof/>
      </w:rPr>
      <w:drawing>
        <wp:inline distT="0" distB="0" distL="0" distR="0" wp14:anchorId="0706DFD0" wp14:editId="16493C20">
          <wp:extent cx="1927860" cy="876300"/>
          <wp:effectExtent l="0" t="0" r="0" b="0"/>
          <wp:docPr id="2" name="Picture 2" descr="logo-bg-righ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bg-right"/>
                  <pic:cNvPicPr>
                    <a:picLocks noChangeAspect="1" noChangeArrowheads="1"/>
                  </pic:cNvPicPr>
                </pic:nvPicPr>
                <pic:blipFill>
                  <a:blip r:embed="rId2">
                    <a:extLst>
                      <a:ext uri="{28A0092B-C50C-407E-A947-70E740481C1C}">
                        <a14:useLocalDpi xmlns:a14="http://schemas.microsoft.com/office/drawing/2010/main" val="0"/>
                      </a:ext>
                    </a:extLst>
                  </a:blip>
                  <a:srcRect r="7172"/>
                  <a:stretch>
                    <a:fillRect/>
                  </a:stretch>
                </pic:blipFill>
                <pic:spPr bwMode="auto">
                  <a:xfrm>
                    <a:off x="0" y="0"/>
                    <a:ext cx="1927860" cy="876300"/>
                  </a:xfrm>
                  <a:prstGeom prst="rect">
                    <a:avLst/>
                  </a:prstGeom>
                  <a:noFill/>
                  <a:ln>
                    <a:noFill/>
                  </a:ln>
                </pic:spPr>
              </pic:pic>
            </a:graphicData>
          </a:graphic>
        </wp:inline>
      </w:drawing>
    </w:r>
  </w:p>
  <w:p w14:paraId="22377175" w14:textId="77777777" w:rsidR="00ED1556" w:rsidRDefault="00ED1556">
    <w:pPr>
      <w:pStyle w:val="Header"/>
    </w:pPr>
  </w:p>
  <w:p w14:paraId="0D590ECE" w14:textId="77777777" w:rsidR="00952A5D" w:rsidRDefault="00952A5D"/>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6A"/>
      </v:shape>
    </w:pict>
  </w:numPicBullet>
  <w:abstractNum w:abstractNumId="0" w15:restartNumberingAfterBreak="0">
    <w:nsid w:val="04CB7DD9"/>
    <w:multiLevelType w:val="multilevel"/>
    <w:tmpl w:val="99D28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B3861"/>
    <w:multiLevelType w:val="multilevel"/>
    <w:tmpl w:val="6404653C"/>
    <w:lvl w:ilvl="0">
      <w:start w:val="1"/>
      <w:numFmt w:val="decimal"/>
      <w:lvlText w:val="%1."/>
      <w:lvlJc w:val="left"/>
      <w:pPr>
        <w:ind w:left="1462" w:hanging="483"/>
        <w:jc w:val="left"/>
      </w:pPr>
      <w:rPr>
        <w:rFonts w:ascii="Times New Roman" w:eastAsia="Times New Roman" w:hAnsi="Times New Roman" w:cs="Times New Roman" w:hint="default"/>
        <w:b/>
        <w:bCs/>
        <w:spacing w:val="0"/>
        <w:w w:val="100"/>
        <w:sz w:val="28"/>
        <w:szCs w:val="28"/>
        <w:lang w:val="bg-BG" w:eastAsia="en-US" w:bidi="ar-SA"/>
      </w:rPr>
    </w:lvl>
    <w:lvl w:ilvl="1">
      <w:start w:val="1"/>
      <w:numFmt w:val="decimal"/>
      <w:lvlText w:val="%1.%2."/>
      <w:lvlJc w:val="left"/>
      <w:pPr>
        <w:ind w:left="2182" w:hanging="720"/>
        <w:jc w:val="left"/>
      </w:pPr>
      <w:rPr>
        <w:rFonts w:ascii="Times New Roman" w:eastAsia="Times New Roman" w:hAnsi="Times New Roman" w:cs="Times New Roman" w:hint="default"/>
        <w:b/>
        <w:bCs/>
        <w:w w:val="100"/>
        <w:sz w:val="24"/>
        <w:szCs w:val="24"/>
        <w:lang w:val="bg-BG" w:eastAsia="en-US" w:bidi="ar-SA"/>
      </w:rPr>
    </w:lvl>
    <w:lvl w:ilvl="2">
      <w:start w:val="1"/>
      <w:numFmt w:val="decimal"/>
      <w:lvlText w:val="%1.%2.%3."/>
      <w:lvlJc w:val="left"/>
      <w:pPr>
        <w:ind w:left="2902" w:hanging="720"/>
        <w:jc w:val="left"/>
      </w:pPr>
      <w:rPr>
        <w:rFonts w:ascii="Times New Roman" w:eastAsia="Times New Roman" w:hAnsi="Times New Roman" w:cs="Times New Roman" w:hint="default"/>
        <w:i/>
        <w:iCs/>
        <w:w w:val="100"/>
        <w:sz w:val="24"/>
        <w:szCs w:val="24"/>
        <w:lang w:val="bg-BG" w:eastAsia="en-US" w:bidi="ar-SA"/>
      </w:rPr>
    </w:lvl>
    <w:lvl w:ilvl="3">
      <w:numFmt w:val="bullet"/>
      <w:lvlText w:val="•"/>
      <w:lvlJc w:val="left"/>
      <w:pPr>
        <w:ind w:left="3910" w:hanging="720"/>
      </w:pPr>
      <w:rPr>
        <w:rFonts w:hint="default"/>
        <w:lang w:val="bg-BG" w:eastAsia="en-US" w:bidi="ar-SA"/>
      </w:rPr>
    </w:lvl>
    <w:lvl w:ilvl="4">
      <w:numFmt w:val="bullet"/>
      <w:lvlText w:val="•"/>
      <w:lvlJc w:val="left"/>
      <w:pPr>
        <w:ind w:left="4921" w:hanging="720"/>
      </w:pPr>
      <w:rPr>
        <w:rFonts w:hint="default"/>
        <w:lang w:val="bg-BG" w:eastAsia="en-US" w:bidi="ar-SA"/>
      </w:rPr>
    </w:lvl>
    <w:lvl w:ilvl="5">
      <w:numFmt w:val="bullet"/>
      <w:lvlText w:val="•"/>
      <w:lvlJc w:val="left"/>
      <w:pPr>
        <w:ind w:left="5932" w:hanging="720"/>
      </w:pPr>
      <w:rPr>
        <w:rFonts w:hint="default"/>
        <w:lang w:val="bg-BG" w:eastAsia="en-US" w:bidi="ar-SA"/>
      </w:rPr>
    </w:lvl>
    <w:lvl w:ilvl="6">
      <w:numFmt w:val="bullet"/>
      <w:lvlText w:val="•"/>
      <w:lvlJc w:val="left"/>
      <w:pPr>
        <w:ind w:left="6943" w:hanging="720"/>
      </w:pPr>
      <w:rPr>
        <w:rFonts w:hint="default"/>
        <w:lang w:val="bg-BG" w:eastAsia="en-US" w:bidi="ar-SA"/>
      </w:rPr>
    </w:lvl>
    <w:lvl w:ilvl="7">
      <w:numFmt w:val="bullet"/>
      <w:lvlText w:val="•"/>
      <w:lvlJc w:val="left"/>
      <w:pPr>
        <w:ind w:left="7954" w:hanging="720"/>
      </w:pPr>
      <w:rPr>
        <w:rFonts w:hint="default"/>
        <w:lang w:val="bg-BG" w:eastAsia="en-US" w:bidi="ar-SA"/>
      </w:rPr>
    </w:lvl>
    <w:lvl w:ilvl="8">
      <w:numFmt w:val="bullet"/>
      <w:lvlText w:val="•"/>
      <w:lvlJc w:val="left"/>
      <w:pPr>
        <w:ind w:left="8964" w:hanging="720"/>
      </w:pPr>
      <w:rPr>
        <w:rFonts w:hint="default"/>
        <w:lang w:val="bg-BG" w:eastAsia="en-US" w:bidi="ar-SA"/>
      </w:rPr>
    </w:lvl>
  </w:abstractNum>
  <w:abstractNum w:abstractNumId="2" w15:restartNumberingAfterBreak="0">
    <w:nsid w:val="0A3C4750"/>
    <w:multiLevelType w:val="hybridMultilevel"/>
    <w:tmpl w:val="1100A8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AC14CB6"/>
    <w:multiLevelType w:val="multilevel"/>
    <w:tmpl w:val="36641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270D41"/>
    <w:multiLevelType w:val="multilevel"/>
    <w:tmpl w:val="319EC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0497801"/>
    <w:multiLevelType w:val="hybridMultilevel"/>
    <w:tmpl w:val="2866597A"/>
    <w:lvl w:ilvl="0" w:tplc="20BC1A42">
      <w:numFmt w:val="bullet"/>
      <w:lvlText w:val=""/>
      <w:lvlJc w:val="left"/>
      <w:pPr>
        <w:ind w:left="422" w:hanging="536"/>
      </w:pPr>
      <w:rPr>
        <w:rFonts w:ascii="Wingdings" w:eastAsia="Wingdings" w:hAnsi="Wingdings" w:cs="Wingdings" w:hint="default"/>
        <w:w w:val="100"/>
        <w:sz w:val="22"/>
        <w:szCs w:val="22"/>
        <w:lang w:val="bg-BG" w:eastAsia="en-US" w:bidi="ar-SA"/>
      </w:rPr>
    </w:lvl>
    <w:lvl w:ilvl="1" w:tplc="B28A05C0">
      <w:numFmt w:val="bullet"/>
      <w:lvlText w:val="•"/>
      <w:lvlJc w:val="left"/>
      <w:pPr>
        <w:ind w:left="819" w:hanging="536"/>
      </w:pPr>
      <w:rPr>
        <w:rFonts w:hint="default"/>
        <w:lang w:val="bg-BG" w:eastAsia="en-US" w:bidi="ar-SA"/>
      </w:rPr>
    </w:lvl>
    <w:lvl w:ilvl="2" w:tplc="F13C222C">
      <w:numFmt w:val="bullet"/>
      <w:lvlText w:val="•"/>
      <w:lvlJc w:val="left"/>
      <w:pPr>
        <w:ind w:left="1218" w:hanging="536"/>
      </w:pPr>
      <w:rPr>
        <w:rFonts w:hint="default"/>
        <w:lang w:val="bg-BG" w:eastAsia="en-US" w:bidi="ar-SA"/>
      </w:rPr>
    </w:lvl>
    <w:lvl w:ilvl="3" w:tplc="687AB0C8">
      <w:numFmt w:val="bullet"/>
      <w:lvlText w:val="•"/>
      <w:lvlJc w:val="left"/>
      <w:pPr>
        <w:ind w:left="1618" w:hanging="536"/>
      </w:pPr>
      <w:rPr>
        <w:rFonts w:hint="default"/>
        <w:lang w:val="bg-BG" w:eastAsia="en-US" w:bidi="ar-SA"/>
      </w:rPr>
    </w:lvl>
    <w:lvl w:ilvl="4" w:tplc="83C6C6E8">
      <w:numFmt w:val="bullet"/>
      <w:lvlText w:val="•"/>
      <w:lvlJc w:val="left"/>
      <w:pPr>
        <w:ind w:left="2017" w:hanging="536"/>
      </w:pPr>
      <w:rPr>
        <w:rFonts w:hint="default"/>
        <w:lang w:val="bg-BG" w:eastAsia="en-US" w:bidi="ar-SA"/>
      </w:rPr>
    </w:lvl>
    <w:lvl w:ilvl="5" w:tplc="47A03E46">
      <w:numFmt w:val="bullet"/>
      <w:lvlText w:val="•"/>
      <w:lvlJc w:val="left"/>
      <w:pPr>
        <w:ind w:left="2417" w:hanging="536"/>
      </w:pPr>
      <w:rPr>
        <w:rFonts w:hint="default"/>
        <w:lang w:val="bg-BG" w:eastAsia="en-US" w:bidi="ar-SA"/>
      </w:rPr>
    </w:lvl>
    <w:lvl w:ilvl="6" w:tplc="72BC02CE">
      <w:numFmt w:val="bullet"/>
      <w:lvlText w:val="•"/>
      <w:lvlJc w:val="left"/>
      <w:pPr>
        <w:ind w:left="2816" w:hanging="536"/>
      </w:pPr>
      <w:rPr>
        <w:rFonts w:hint="default"/>
        <w:lang w:val="bg-BG" w:eastAsia="en-US" w:bidi="ar-SA"/>
      </w:rPr>
    </w:lvl>
    <w:lvl w:ilvl="7" w:tplc="00E6C354">
      <w:numFmt w:val="bullet"/>
      <w:lvlText w:val="•"/>
      <w:lvlJc w:val="left"/>
      <w:pPr>
        <w:ind w:left="3215" w:hanging="536"/>
      </w:pPr>
      <w:rPr>
        <w:rFonts w:hint="default"/>
        <w:lang w:val="bg-BG" w:eastAsia="en-US" w:bidi="ar-SA"/>
      </w:rPr>
    </w:lvl>
    <w:lvl w:ilvl="8" w:tplc="FAB45AB0">
      <w:numFmt w:val="bullet"/>
      <w:lvlText w:val="•"/>
      <w:lvlJc w:val="left"/>
      <w:pPr>
        <w:ind w:left="3615" w:hanging="536"/>
      </w:pPr>
      <w:rPr>
        <w:rFonts w:hint="default"/>
        <w:lang w:val="bg-BG" w:eastAsia="en-US" w:bidi="ar-SA"/>
      </w:rPr>
    </w:lvl>
  </w:abstractNum>
  <w:abstractNum w:abstractNumId="6" w15:restartNumberingAfterBreak="0">
    <w:nsid w:val="10610AE4"/>
    <w:multiLevelType w:val="hybridMultilevel"/>
    <w:tmpl w:val="EEDABB5C"/>
    <w:lvl w:ilvl="0" w:tplc="638C82AE">
      <w:numFmt w:val="bullet"/>
      <w:lvlText w:val=""/>
      <w:lvlJc w:val="left"/>
      <w:pPr>
        <w:ind w:left="534" w:hanging="284"/>
      </w:pPr>
      <w:rPr>
        <w:rFonts w:ascii="Wingdings" w:eastAsia="Wingdings" w:hAnsi="Wingdings" w:cs="Wingdings" w:hint="default"/>
        <w:w w:val="100"/>
        <w:sz w:val="22"/>
        <w:szCs w:val="22"/>
        <w:lang w:val="bg-BG" w:eastAsia="en-US" w:bidi="ar-SA"/>
      </w:rPr>
    </w:lvl>
    <w:lvl w:ilvl="1" w:tplc="DAA0C358">
      <w:numFmt w:val="bullet"/>
      <w:lvlText w:val="•"/>
      <w:lvlJc w:val="left"/>
      <w:pPr>
        <w:ind w:left="927" w:hanging="284"/>
      </w:pPr>
      <w:rPr>
        <w:rFonts w:hint="default"/>
        <w:lang w:val="bg-BG" w:eastAsia="en-US" w:bidi="ar-SA"/>
      </w:rPr>
    </w:lvl>
    <w:lvl w:ilvl="2" w:tplc="BFD28092">
      <w:numFmt w:val="bullet"/>
      <w:lvlText w:val="•"/>
      <w:lvlJc w:val="left"/>
      <w:pPr>
        <w:ind w:left="1314" w:hanging="284"/>
      </w:pPr>
      <w:rPr>
        <w:rFonts w:hint="default"/>
        <w:lang w:val="bg-BG" w:eastAsia="en-US" w:bidi="ar-SA"/>
      </w:rPr>
    </w:lvl>
    <w:lvl w:ilvl="3" w:tplc="FF04F9B4">
      <w:numFmt w:val="bullet"/>
      <w:lvlText w:val="•"/>
      <w:lvlJc w:val="left"/>
      <w:pPr>
        <w:ind w:left="1702" w:hanging="284"/>
      </w:pPr>
      <w:rPr>
        <w:rFonts w:hint="default"/>
        <w:lang w:val="bg-BG" w:eastAsia="en-US" w:bidi="ar-SA"/>
      </w:rPr>
    </w:lvl>
    <w:lvl w:ilvl="4" w:tplc="F0581F46">
      <w:numFmt w:val="bullet"/>
      <w:lvlText w:val="•"/>
      <w:lvlJc w:val="left"/>
      <w:pPr>
        <w:ind w:left="2089" w:hanging="284"/>
      </w:pPr>
      <w:rPr>
        <w:rFonts w:hint="default"/>
        <w:lang w:val="bg-BG" w:eastAsia="en-US" w:bidi="ar-SA"/>
      </w:rPr>
    </w:lvl>
    <w:lvl w:ilvl="5" w:tplc="36D4D1A6">
      <w:numFmt w:val="bullet"/>
      <w:lvlText w:val="•"/>
      <w:lvlJc w:val="left"/>
      <w:pPr>
        <w:ind w:left="2477" w:hanging="284"/>
      </w:pPr>
      <w:rPr>
        <w:rFonts w:hint="default"/>
        <w:lang w:val="bg-BG" w:eastAsia="en-US" w:bidi="ar-SA"/>
      </w:rPr>
    </w:lvl>
    <w:lvl w:ilvl="6" w:tplc="6EC84CAC">
      <w:numFmt w:val="bullet"/>
      <w:lvlText w:val="•"/>
      <w:lvlJc w:val="left"/>
      <w:pPr>
        <w:ind w:left="2864" w:hanging="284"/>
      </w:pPr>
      <w:rPr>
        <w:rFonts w:hint="default"/>
        <w:lang w:val="bg-BG" w:eastAsia="en-US" w:bidi="ar-SA"/>
      </w:rPr>
    </w:lvl>
    <w:lvl w:ilvl="7" w:tplc="B624163A">
      <w:numFmt w:val="bullet"/>
      <w:lvlText w:val="•"/>
      <w:lvlJc w:val="left"/>
      <w:pPr>
        <w:ind w:left="3251" w:hanging="284"/>
      </w:pPr>
      <w:rPr>
        <w:rFonts w:hint="default"/>
        <w:lang w:val="bg-BG" w:eastAsia="en-US" w:bidi="ar-SA"/>
      </w:rPr>
    </w:lvl>
    <w:lvl w:ilvl="8" w:tplc="11A0677A">
      <w:numFmt w:val="bullet"/>
      <w:lvlText w:val="•"/>
      <w:lvlJc w:val="left"/>
      <w:pPr>
        <w:ind w:left="3639" w:hanging="284"/>
      </w:pPr>
      <w:rPr>
        <w:rFonts w:hint="default"/>
        <w:lang w:val="bg-BG" w:eastAsia="en-US" w:bidi="ar-SA"/>
      </w:rPr>
    </w:lvl>
  </w:abstractNum>
  <w:abstractNum w:abstractNumId="7" w15:restartNumberingAfterBreak="0">
    <w:nsid w:val="10E84067"/>
    <w:multiLevelType w:val="multilevel"/>
    <w:tmpl w:val="D312E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2E35392"/>
    <w:multiLevelType w:val="multilevel"/>
    <w:tmpl w:val="B5C4B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6E6C96"/>
    <w:multiLevelType w:val="multilevel"/>
    <w:tmpl w:val="06100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6F44F02"/>
    <w:multiLevelType w:val="multilevel"/>
    <w:tmpl w:val="A4E0C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9D10DD9"/>
    <w:multiLevelType w:val="hybridMultilevel"/>
    <w:tmpl w:val="462A09D0"/>
    <w:lvl w:ilvl="0" w:tplc="D9E6E1CA">
      <w:start w:val="1"/>
      <w:numFmt w:val="decimal"/>
      <w:lvlText w:val="%1."/>
      <w:lvlJc w:val="left"/>
      <w:pPr>
        <w:ind w:left="786" w:hanging="360"/>
      </w:pPr>
      <w:rPr>
        <w:rFonts w:ascii="Times New Roman" w:hAnsi="Times New Roman" w:cs="Times New Roman" w:hint="default"/>
        <w:b w:val="0"/>
        <w:i w:val="0"/>
        <w:sz w:val="24"/>
        <w:szCs w:val="24"/>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2" w15:restartNumberingAfterBreak="0">
    <w:nsid w:val="1B0F4DCE"/>
    <w:multiLevelType w:val="hybridMultilevel"/>
    <w:tmpl w:val="10D62C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9C49D5"/>
    <w:multiLevelType w:val="hybridMultilevel"/>
    <w:tmpl w:val="D2407444"/>
    <w:lvl w:ilvl="0" w:tplc="08090001">
      <w:start w:val="1"/>
      <w:numFmt w:val="bullet"/>
      <w:lvlText w:val=""/>
      <w:lvlJc w:val="left"/>
      <w:pPr>
        <w:ind w:left="644" w:hanging="360"/>
      </w:pPr>
      <w:rPr>
        <w:rFonts w:ascii="Symbol" w:hAnsi="Symbol"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cs="Wingdings" w:hint="default"/>
      </w:rPr>
    </w:lvl>
    <w:lvl w:ilvl="3" w:tplc="04020001">
      <w:start w:val="1"/>
      <w:numFmt w:val="bullet"/>
      <w:lvlText w:val=""/>
      <w:lvlJc w:val="left"/>
      <w:pPr>
        <w:ind w:left="3229" w:hanging="360"/>
      </w:pPr>
      <w:rPr>
        <w:rFonts w:ascii="Symbol" w:hAnsi="Symbol" w:cs="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cs="Wingdings" w:hint="default"/>
      </w:rPr>
    </w:lvl>
    <w:lvl w:ilvl="6" w:tplc="04020001">
      <w:start w:val="1"/>
      <w:numFmt w:val="bullet"/>
      <w:lvlText w:val=""/>
      <w:lvlJc w:val="left"/>
      <w:pPr>
        <w:ind w:left="5389" w:hanging="360"/>
      </w:pPr>
      <w:rPr>
        <w:rFonts w:ascii="Symbol" w:hAnsi="Symbol" w:cs="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cs="Wingdings" w:hint="default"/>
      </w:rPr>
    </w:lvl>
  </w:abstractNum>
  <w:abstractNum w:abstractNumId="14" w15:restartNumberingAfterBreak="0">
    <w:nsid w:val="286E3636"/>
    <w:multiLevelType w:val="hybridMultilevel"/>
    <w:tmpl w:val="EC2E362A"/>
    <w:lvl w:ilvl="0" w:tplc="70804F4A">
      <w:numFmt w:val="bullet"/>
      <w:lvlText w:val=""/>
      <w:lvlJc w:val="left"/>
      <w:pPr>
        <w:ind w:left="534" w:hanging="284"/>
      </w:pPr>
      <w:rPr>
        <w:rFonts w:ascii="Wingdings" w:eastAsia="Wingdings" w:hAnsi="Wingdings" w:cs="Wingdings" w:hint="default"/>
        <w:w w:val="100"/>
        <w:sz w:val="22"/>
        <w:szCs w:val="22"/>
        <w:lang w:val="bg-BG" w:eastAsia="en-US" w:bidi="ar-SA"/>
      </w:rPr>
    </w:lvl>
    <w:lvl w:ilvl="1" w:tplc="1B3E5ECC">
      <w:numFmt w:val="bullet"/>
      <w:lvlText w:val="•"/>
      <w:lvlJc w:val="left"/>
      <w:pPr>
        <w:ind w:left="927" w:hanging="284"/>
      </w:pPr>
      <w:rPr>
        <w:rFonts w:hint="default"/>
        <w:lang w:val="bg-BG" w:eastAsia="en-US" w:bidi="ar-SA"/>
      </w:rPr>
    </w:lvl>
    <w:lvl w:ilvl="2" w:tplc="4FEEEC4A">
      <w:numFmt w:val="bullet"/>
      <w:lvlText w:val="•"/>
      <w:lvlJc w:val="left"/>
      <w:pPr>
        <w:ind w:left="1314" w:hanging="284"/>
      </w:pPr>
      <w:rPr>
        <w:rFonts w:hint="default"/>
        <w:lang w:val="bg-BG" w:eastAsia="en-US" w:bidi="ar-SA"/>
      </w:rPr>
    </w:lvl>
    <w:lvl w:ilvl="3" w:tplc="85103ED4">
      <w:numFmt w:val="bullet"/>
      <w:lvlText w:val="•"/>
      <w:lvlJc w:val="left"/>
      <w:pPr>
        <w:ind w:left="1702" w:hanging="284"/>
      </w:pPr>
      <w:rPr>
        <w:rFonts w:hint="default"/>
        <w:lang w:val="bg-BG" w:eastAsia="en-US" w:bidi="ar-SA"/>
      </w:rPr>
    </w:lvl>
    <w:lvl w:ilvl="4" w:tplc="CECE755A">
      <w:numFmt w:val="bullet"/>
      <w:lvlText w:val="•"/>
      <w:lvlJc w:val="left"/>
      <w:pPr>
        <w:ind w:left="2089" w:hanging="284"/>
      </w:pPr>
      <w:rPr>
        <w:rFonts w:hint="default"/>
        <w:lang w:val="bg-BG" w:eastAsia="en-US" w:bidi="ar-SA"/>
      </w:rPr>
    </w:lvl>
    <w:lvl w:ilvl="5" w:tplc="7338860C">
      <w:numFmt w:val="bullet"/>
      <w:lvlText w:val="•"/>
      <w:lvlJc w:val="left"/>
      <w:pPr>
        <w:ind w:left="2477" w:hanging="284"/>
      </w:pPr>
      <w:rPr>
        <w:rFonts w:hint="default"/>
        <w:lang w:val="bg-BG" w:eastAsia="en-US" w:bidi="ar-SA"/>
      </w:rPr>
    </w:lvl>
    <w:lvl w:ilvl="6" w:tplc="D976FF32">
      <w:numFmt w:val="bullet"/>
      <w:lvlText w:val="•"/>
      <w:lvlJc w:val="left"/>
      <w:pPr>
        <w:ind w:left="2864" w:hanging="284"/>
      </w:pPr>
      <w:rPr>
        <w:rFonts w:hint="default"/>
        <w:lang w:val="bg-BG" w:eastAsia="en-US" w:bidi="ar-SA"/>
      </w:rPr>
    </w:lvl>
    <w:lvl w:ilvl="7" w:tplc="B008980C">
      <w:numFmt w:val="bullet"/>
      <w:lvlText w:val="•"/>
      <w:lvlJc w:val="left"/>
      <w:pPr>
        <w:ind w:left="3251" w:hanging="284"/>
      </w:pPr>
      <w:rPr>
        <w:rFonts w:hint="default"/>
        <w:lang w:val="bg-BG" w:eastAsia="en-US" w:bidi="ar-SA"/>
      </w:rPr>
    </w:lvl>
    <w:lvl w:ilvl="8" w:tplc="9576403C">
      <w:numFmt w:val="bullet"/>
      <w:lvlText w:val="•"/>
      <w:lvlJc w:val="left"/>
      <w:pPr>
        <w:ind w:left="3639" w:hanging="284"/>
      </w:pPr>
      <w:rPr>
        <w:rFonts w:hint="default"/>
        <w:lang w:val="bg-BG" w:eastAsia="en-US" w:bidi="ar-SA"/>
      </w:rPr>
    </w:lvl>
  </w:abstractNum>
  <w:abstractNum w:abstractNumId="15" w15:restartNumberingAfterBreak="0">
    <w:nsid w:val="28F169AC"/>
    <w:multiLevelType w:val="hybridMultilevel"/>
    <w:tmpl w:val="CDA60324"/>
    <w:lvl w:ilvl="0" w:tplc="04020001">
      <w:start w:val="1"/>
      <w:numFmt w:val="bullet"/>
      <w:lvlText w:val=""/>
      <w:lvlJc w:val="left"/>
      <w:pPr>
        <w:ind w:left="1429" w:hanging="360"/>
      </w:pPr>
      <w:rPr>
        <w:rFonts w:ascii="Symbol" w:hAnsi="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cs="Wingdings" w:hint="default"/>
      </w:rPr>
    </w:lvl>
    <w:lvl w:ilvl="3" w:tplc="04020001">
      <w:start w:val="1"/>
      <w:numFmt w:val="bullet"/>
      <w:lvlText w:val=""/>
      <w:lvlJc w:val="left"/>
      <w:pPr>
        <w:ind w:left="3589" w:hanging="360"/>
      </w:pPr>
      <w:rPr>
        <w:rFonts w:ascii="Symbol" w:hAnsi="Symbol" w:cs="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cs="Wingdings" w:hint="default"/>
      </w:rPr>
    </w:lvl>
    <w:lvl w:ilvl="6" w:tplc="04020001">
      <w:start w:val="1"/>
      <w:numFmt w:val="bullet"/>
      <w:lvlText w:val=""/>
      <w:lvlJc w:val="left"/>
      <w:pPr>
        <w:ind w:left="5749" w:hanging="360"/>
      </w:pPr>
      <w:rPr>
        <w:rFonts w:ascii="Symbol" w:hAnsi="Symbol" w:cs="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cs="Wingdings" w:hint="default"/>
      </w:rPr>
    </w:lvl>
  </w:abstractNum>
  <w:abstractNum w:abstractNumId="16" w15:restartNumberingAfterBreak="0">
    <w:nsid w:val="2A6D43A0"/>
    <w:multiLevelType w:val="hybridMultilevel"/>
    <w:tmpl w:val="2DA6B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21E590D"/>
    <w:multiLevelType w:val="hybridMultilevel"/>
    <w:tmpl w:val="000E866A"/>
    <w:lvl w:ilvl="0" w:tplc="27C62920">
      <w:numFmt w:val="bullet"/>
      <w:lvlText w:val=""/>
      <w:lvlJc w:val="left"/>
      <w:pPr>
        <w:ind w:left="422" w:hanging="536"/>
      </w:pPr>
      <w:rPr>
        <w:rFonts w:ascii="Wingdings" w:eastAsia="Wingdings" w:hAnsi="Wingdings" w:cs="Wingdings" w:hint="default"/>
        <w:w w:val="100"/>
        <w:sz w:val="22"/>
        <w:szCs w:val="22"/>
        <w:lang w:val="bg-BG" w:eastAsia="en-US" w:bidi="ar-SA"/>
      </w:rPr>
    </w:lvl>
    <w:lvl w:ilvl="1" w:tplc="09AA0032">
      <w:numFmt w:val="bullet"/>
      <w:lvlText w:val="•"/>
      <w:lvlJc w:val="left"/>
      <w:pPr>
        <w:ind w:left="819" w:hanging="536"/>
      </w:pPr>
      <w:rPr>
        <w:rFonts w:hint="default"/>
        <w:lang w:val="bg-BG" w:eastAsia="en-US" w:bidi="ar-SA"/>
      </w:rPr>
    </w:lvl>
    <w:lvl w:ilvl="2" w:tplc="CDB65E68">
      <w:numFmt w:val="bullet"/>
      <w:lvlText w:val="•"/>
      <w:lvlJc w:val="left"/>
      <w:pPr>
        <w:ind w:left="1218" w:hanging="536"/>
      </w:pPr>
      <w:rPr>
        <w:rFonts w:hint="default"/>
        <w:lang w:val="bg-BG" w:eastAsia="en-US" w:bidi="ar-SA"/>
      </w:rPr>
    </w:lvl>
    <w:lvl w:ilvl="3" w:tplc="42CE38BA">
      <w:numFmt w:val="bullet"/>
      <w:lvlText w:val="•"/>
      <w:lvlJc w:val="left"/>
      <w:pPr>
        <w:ind w:left="1618" w:hanging="536"/>
      </w:pPr>
      <w:rPr>
        <w:rFonts w:hint="default"/>
        <w:lang w:val="bg-BG" w:eastAsia="en-US" w:bidi="ar-SA"/>
      </w:rPr>
    </w:lvl>
    <w:lvl w:ilvl="4" w:tplc="C8D2D9D4">
      <w:numFmt w:val="bullet"/>
      <w:lvlText w:val="•"/>
      <w:lvlJc w:val="left"/>
      <w:pPr>
        <w:ind w:left="2017" w:hanging="536"/>
      </w:pPr>
      <w:rPr>
        <w:rFonts w:hint="default"/>
        <w:lang w:val="bg-BG" w:eastAsia="en-US" w:bidi="ar-SA"/>
      </w:rPr>
    </w:lvl>
    <w:lvl w:ilvl="5" w:tplc="4A60C52E">
      <w:numFmt w:val="bullet"/>
      <w:lvlText w:val="•"/>
      <w:lvlJc w:val="left"/>
      <w:pPr>
        <w:ind w:left="2417" w:hanging="536"/>
      </w:pPr>
      <w:rPr>
        <w:rFonts w:hint="default"/>
        <w:lang w:val="bg-BG" w:eastAsia="en-US" w:bidi="ar-SA"/>
      </w:rPr>
    </w:lvl>
    <w:lvl w:ilvl="6" w:tplc="2F986824">
      <w:numFmt w:val="bullet"/>
      <w:lvlText w:val="•"/>
      <w:lvlJc w:val="left"/>
      <w:pPr>
        <w:ind w:left="2816" w:hanging="536"/>
      </w:pPr>
      <w:rPr>
        <w:rFonts w:hint="default"/>
        <w:lang w:val="bg-BG" w:eastAsia="en-US" w:bidi="ar-SA"/>
      </w:rPr>
    </w:lvl>
    <w:lvl w:ilvl="7" w:tplc="BD2E311E">
      <w:numFmt w:val="bullet"/>
      <w:lvlText w:val="•"/>
      <w:lvlJc w:val="left"/>
      <w:pPr>
        <w:ind w:left="3215" w:hanging="536"/>
      </w:pPr>
      <w:rPr>
        <w:rFonts w:hint="default"/>
        <w:lang w:val="bg-BG" w:eastAsia="en-US" w:bidi="ar-SA"/>
      </w:rPr>
    </w:lvl>
    <w:lvl w:ilvl="8" w:tplc="D38ACE98">
      <w:numFmt w:val="bullet"/>
      <w:lvlText w:val="•"/>
      <w:lvlJc w:val="left"/>
      <w:pPr>
        <w:ind w:left="3615" w:hanging="536"/>
      </w:pPr>
      <w:rPr>
        <w:rFonts w:hint="default"/>
        <w:lang w:val="bg-BG" w:eastAsia="en-US" w:bidi="ar-SA"/>
      </w:rPr>
    </w:lvl>
  </w:abstractNum>
  <w:abstractNum w:abstractNumId="18" w15:restartNumberingAfterBreak="0">
    <w:nsid w:val="34205BF2"/>
    <w:multiLevelType w:val="hybridMultilevel"/>
    <w:tmpl w:val="4EBCFDD0"/>
    <w:lvl w:ilvl="0" w:tplc="CB2AB3B8">
      <w:start w:val="1"/>
      <w:numFmt w:val="decimal"/>
      <w:lvlText w:val="%1)"/>
      <w:lvlJc w:val="left"/>
      <w:pPr>
        <w:ind w:left="1199" w:hanging="260"/>
      </w:pPr>
      <w:rPr>
        <w:rFonts w:ascii="Times New Roman" w:eastAsia="Times New Roman" w:hAnsi="Times New Roman" w:cs="Times New Roman" w:hint="default"/>
        <w:w w:val="100"/>
        <w:sz w:val="24"/>
        <w:szCs w:val="24"/>
        <w:lang w:val="bg-BG" w:eastAsia="en-US" w:bidi="ar-SA"/>
      </w:rPr>
    </w:lvl>
    <w:lvl w:ilvl="1" w:tplc="07522376">
      <w:numFmt w:val="bullet"/>
      <w:lvlText w:val="•"/>
      <w:lvlJc w:val="left"/>
      <w:pPr>
        <w:ind w:left="2064" w:hanging="260"/>
      </w:pPr>
      <w:rPr>
        <w:lang w:val="bg-BG" w:eastAsia="en-US" w:bidi="ar-SA"/>
      </w:rPr>
    </w:lvl>
    <w:lvl w:ilvl="2" w:tplc="DBA8729E">
      <w:numFmt w:val="bullet"/>
      <w:lvlText w:val="•"/>
      <w:lvlJc w:val="left"/>
      <w:pPr>
        <w:ind w:left="2928" w:hanging="260"/>
      </w:pPr>
      <w:rPr>
        <w:lang w:val="bg-BG" w:eastAsia="en-US" w:bidi="ar-SA"/>
      </w:rPr>
    </w:lvl>
    <w:lvl w:ilvl="3" w:tplc="899EF86A">
      <w:numFmt w:val="bullet"/>
      <w:lvlText w:val="•"/>
      <w:lvlJc w:val="left"/>
      <w:pPr>
        <w:ind w:left="3792" w:hanging="260"/>
      </w:pPr>
      <w:rPr>
        <w:lang w:val="bg-BG" w:eastAsia="en-US" w:bidi="ar-SA"/>
      </w:rPr>
    </w:lvl>
    <w:lvl w:ilvl="4" w:tplc="92E4A9E6">
      <w:numFmt w:val="bullet"/>
      <w:lvlText w:val="•"/>
      <w:lvlJc w:val="left"/>
      <w:pPr>
        <w:ind w:left="4656" w:hanging="260"/>
      </w:pPr>
      <w:rPr>
        <w:lang w:val="bg-BG" w:eastAsia="en-US" w:bidi="ar-SA"/>
      </w:rPr>
    </w:lvl>
    <w:lvl w:ilvl="5" w:tplc="59A8F128">
      <w:numFmt w:val="bullet"/>
      <w:lvlText w:val="•"/>
      <w:lvlJc w:val="left"/>
      <w:pPr>
        <w:ind w:left="5520" w:hanging="260"/>
      </w:pPr>
      <w:rPr>
        <w:lang w:val="bg-BG" w:eastAsia="en-US" w:bidi="ar-SA"/>
      </w:rPr>
    </w:lvl>
    <w:lvl w:ilvl="6" w:tplc="29F023AC">
      <w:numFmt w:val="bullet"/>
      <w:lvlText w:val="•"/>
      <w:lvlJc w:val="left"/>
      <w:pPr>
        <w:ind w:left="6384" w:hanging="260"/>
      </w:pPr>
      <w:rPr>
        <w:lang w:val="bg-BG" w:eastAsia="en-US" w:bidi="ar-SA"/>
      </w:rPr>
    </w:lvl>
    <w:lvl w:ilvl="7" w:tplc="06BCD5A6">
      <w:numFmt w:val="bullet"/>
      <w:lvlText w:val="•"/>
      <w:lvlJc w:val="left"/>
      <w:pPr>
        <w:ind w:left="7248" w:hanging="260"/>
      </w:pPr>
      <w:rPr>
        <w:lang w:val="bg-BG" w:eastAsia="en-US" w:bidi="ar-SA"/>
      </w:rPr>
    </w:lvl>
    <w:lvl w:ilvl="8" w:tplc="E3B64F94">
      <w:numFmt w:val="bullet"/>
      <w:lvlText w:val="•"/>
      <w:lvlJc w:val="left"/>
      <w:pPr>
        <w:ind w:left="8112" w:hanging="260"/>
      </w:pPr>
      <w:rPr>
        <w:lang w:val="bg-BG" w:eastAsia="en-US" w:bidi="ar-SA"/>
      </w:rPr>
    </w:lvl>
  </w:abstractNum>
  <w:abstractNum w:abstractNumId="19" w15:restartNumberingAfterBreak="0">
    <w:nsid w:val="399E25B3"/>
    <w:multiLevelType w:val="hybridMultilevel"/>
    <w:tmpl w:val="D6D8A154"/>
    <w:lvl w:ilvl="0" w:tplc="04020007">
      <w:start w:val="1"/>
      <w:numFmt w:val="bullet"/>
      <w:lvlText w:val=""/>
      <w:lvlPicBulletId w:val="0"/>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AF921E6"/>
    <w:multiLevelType w:val="hybridMultilevel"/>
    <w:tmpl w:val="3962B352"/>
    <w:lvl w:ilvl="0" w:tplc="B074FDF8">
      <w:start w:val="1"/>
      <w:numFmt w:val="bullet"/>
      <w:lvlText w:val=""/>
      <w:lvlJc w:val="left"/>
      <w:pPr>
        <w:ind w:left="644" w:hanging="360"/>
      </w:pPr>
      <w:rPr>
        <w:rFonts w:ascii="Symbol" w:hAnsi="Symbol" w:hint="default"/>
      </w:rPr>
    </w:lvl>
    <w:lvl w:ilvl="1" w:tplc="04020003">
      <w:start w:val="1"/>
      <w:numFmt w:val="bullet"/>
      <w:lvlText w:val="o"/>
      <w:lvlJc w:val="left"/>
      <w:pPr>
        <w:ind w:left="1789" w:hanging="360"/>
      </w:pPr>
      <w:rPr>
        <w:rFonts w:ascii="Courier New" w:hAnsi="Courier New" w:cs="Courier New" w:hint="default"/>
      </w:rPr>
    </w:lvl>
    <w:lvl w:ilvl="2" w:tplc="04020005">
      <w:start w:val="1"/>
      <w:numFmt w:val="bullet"/>
      <w:lvlText w:val=""/>
      <w:lvlJc w:val="left"/>
      <w:pPr>
        <w:ind w:left="2509" w:hanging="360"/>
      </w:pPr>
      <w:rPr>
        <w:rFonts w:ascii="Wingdings" w:hAnsi="Wingdings" w:cs="Wingdings" w:hint="default"/>
      </w:rPr>
    </w:lvl>
    <w:lvl w:ilvl="3" w:tplc="04020001">
      <w:start w:val="1"/>
      <w:numFmt w:val="bullet"/>
      <w:lvlText w:val=""/>
      <w:lvlJc w:val="left"/>
      <w:pPr>
        <w:ind w:left="3229" w:hanging="360"/>
      </w:pPr>
      <w:rPr>
        <w:rFonts w:ascii="Symbol" w:hAnsi="Symbol" w:cs="Symbol" w:hint="default"/>
      </w:rPr>
    </w:lvl>
    <w:lvl w:ilvl="4" w:tplc="04020003">
      <w:start w:val="1"/>
      <w:numFmt w:val="bullet"/>
      <w:lvlText w:val="o"/>
      <w:lvlJc w:val="left"/>
      <w:pPr>
        <w:ind w:left="3949" w:hanging="360"/>
      </w:pPr>
      <w:rPr>
        <w:rFonts w:ascii="Courier New" w:hAnsi="Courier New" w:cs="Courier New" w:hint="default"/>
      </w:rPr>
    </w:lvl>
    <w:lvl w:ilvl="5" w:tplc="04020005">
      <w:start w:val="1"/>
      <w:numFmt w:val="bullet"/>
      <w:lvlText w:val=""/>
      <w:lvlJc w:val="left"/>
      <w:pPr>
        <w:ind w:left="4669" w:hanging="360"/>
      </w:pPr>
      <w:rPr>
        <w:rFonts w:ascii="Wingdings" w:hAnsi="Wingdings" w:cs="Wingdings" w:hint="default"/>
      </w:rPr>
    </w:lvl>
    <w:lvl w:ilvl="6" w:tplc="04020001">
      <w:start w:val="1"/>
      <w:numFmt w:val="bullet"/>
      <w:lvlText w:val=""/>
      <w:lvlJc w:val="left"/>
      <w:pPr>
        <w:ind w:left="5389" w:hanging="360"/>
      </w:pPr>
      <w:rPr>
        <w:rFonts w:ascii="Symbol" w:hAnsi="Symbol" w:cs="Symbol" w:hint="default"/>
      </w:rPr>
    </w:lvl>
    <w:lvl w:ilvl="7" w:tplc="04020003">
      <w:start w:val="1"/>
      <w:numFmt w:val="bullet"/>
      <w:lvlText w:val="o"/>
      <w:lvlJc w:val="left"/>
      <w:pPr>
        <w:ind w:left="6109" w:hanging="360"/>
      </w:pPr>
      <w:rPr>
        <w:rFonts w:ascii="Courier New" w:hAnsi="Courier New" w:cs="Courier New" w:hint="default"/>
      </w:rPr>
    </w:lvl>
    <w:lvl w:ilvl="8" w:tplc="04020005">
      <w:start w:val="1"/>
      <w:numFmt w:val="bullet"/>
      <w:lvlText w:val=""/>
      <w:lvlJc w:val="left"/>
      <w:pPr>
        <w:ind w:left="6829" w:hanging="360"/>
      </w:pPr>
      <w:rPr>
        <w:rFonts w:ascii="Wingdings" w:hAnsi="Wingdings" w:cs="Wingdings" w:hint="default"/>
      </w:rPr>
    </w:lvl>
  </w:abstractNum>
  <w:abstractNum w:abstractNumId="21" w15:restartNumberingAfterBreak="0">
    <w:nsid w:val="3D4F38EE"/>
    <w:multiLevelType w:val="hybridMultilevel"/>
    <w:tmpl w:val="6DC20C4A"/>
    <w:lvl w:ilvl="0" w:tplc="BF1C15F8">
      <w:numFmt w:val="bullet"/>
      <w:lvlText w:val=""/>
      <w:lvlJc w:val="left"/>
      <w:pPr>
        <w:ind w:left="707" w:hanging="428"/>
      </w:pPr>
      <w:rPr>
        <w:rFonts w:ascii="Wingdings" w:eastAsia="Wingdings" w:hAnsi="Wingdings" w:cs="Wingdings" w:hint="default"/>
        <w:w w:val="100"/>
        <w:sz w:val="22"/>
        <w:szCs w:val="22"/>
        <w:lang w:val="bg-BG" w:eastAsia="en-US" w:bidi="ar-SA"/>
      </w:rPr>
    </w:lvl>
    <w:lvl w:ilvl="1" w:tplc="474C84E6">
      <w:numFmt w:val="bullet"/>
      <w:lvlText w:val="-"/>
      <w:lvlJc w:val="left"/>
      <w:pPr>
        <w:ind w:left="990" w:hanging="144"/>
      </w:pPr>
      <w:rPr>
        <w:rFonts w:ascii="Times New Roman" w:eastAsia="Times New Roman" w:hAnsi="Times New Roman" w:cs="Times New Roman" w:hint="default"/>
        <w:w w:val="100"/>
        <w:sz w:val="22"/>
        <w:szCs w:val="22"/>
        <w:lang w:val="bg-BG" w:eastAsia="en-US" w:bidi="ar-SA"/>
      </w:rPr>
    </w:lvl>
    <w:lvl w:ilvl="2" w:tplc="04104394">
      <w:numFmt w:val="bullet"/>
      <w:lvlText w:val="•"/>
      <w:lvlJc w:val="left"/>
      <w:pPr>
        <w:ind w:left="1379" w:hanging="144"/>
      </w:pPr>
      <w:rPr>
        <w:rFonts w:hint="default"/>
        <w:lang w:val="bg-BG" w:eastAsia="en-US" w:bidi="ar-SA"/>
      </w:rPr>
    </w:lvl>
    <w:lvl w:ilvl="3" w:tplc="D2EC391A">
      <w:numFmt w:val="bullet"/>
      <w:lvlText w:val="•"/>
      <w:lvlJc w:val="left"/>
      <w:pPr>
        <w:ind w:left="1758" w:hanging="144"/>
      </w:pPr>
      <w:rPr>
        <w:rFonts w:hint="default"/>
        <w:lang w:val="bg-BG" w:eastAsia="en-US" w:bidi="ar-SA"/>
      </w:rPr>
    </w:lvl>
    <w:lvl w:ilvl="4" w:tplc="FB823258">
      <w:numFmt w:val="bullet"/>
      <w:lvlText w:val="•"/>
      <w:lvlJc w:val="left"/>
      <w:pPr>
        <w:ind w:left="2138" w:hanging="144"/>
      </w:pPr>
      <w:rPr>
        <w:rFonts w:hint="default"/>
        <w:lang w:val="bg-BG" w:eastAsia="en-US" w:bidi="ar-SA"/>
      </w:rPr>
    </w:lvl>
    <w:lvl w:ilvl="5" w:tplc="C1847B18">
      <w:numFmt w:val="bullet"/>
      <w:lvlText w:val="•"/>
      <w:lvlJc w:val="left"/>
      <w:pPr>
        <w:ind w:left="2517" w:hanging="144"/>
      </w:pPr>
      <w:rPr>
        <w:rFonts w:hint="default"/>
        <w:lang w:val="bg-BG" w:eastAsia="en-US" w:bidi="ar-SA"/>
      </w:rPr>
    </w:lvl>
    <w:lvl w:ilvl="6" w:tplc="E788CB56">
      <w:numFmt w:val="bullet"/>
      <w:lvlText w:val="•"/>
      <w:lvlJc w:val="left"/>
      <w:pPr>
        <w:ind w:left="2896" w:hanging="144"/>
      </w:pPr>
      <w:rPr>
        <w:rFonts w:hint="default"/>
        <w:lang w:val="bg-BG" w:eastAsia="en-US" w:bidi="ar-SA"/>
      </w:rPr>
    </w:lvl>
    <w:lvl w:ilvl="7" w:tplc="2782EDE8">
      <w:numFmt w:val="bullet"/>
      <w:lvlText w:val="•"/>
      <w:lvlJc w:val="left"/>
      <w:pPr>
        <w:ind w:left="3276" w:hanging="144"/>
      </w:pPr>
      <w:rPr>
        <w:rFonts w:hint="default"/>
        <w:lang w:val="bg-BG" w:eastAsia="en-US" w:bidi="ar-SA"/>
      </w:rPr>
    </w:lvl>
    <w:lvl w:ilvl="8" w:tplc="96523B7C">
      <w:numFmt w:val="bullet"/>
      <w:lvlText w:val="•"/>
      <w:lvlJc w:val="left"/>
      <w:pPr>
        <w:ind w:left="3655" w:hanging="144"/>
      </w:pPr>
      <w:rPr>
        <w:rFonts w:hint="default"/>
        <w:lang w:val="bg-BG" w:eastAsia="en-US" w:bidi="ar-SA"/>
      </w:rPr>
    </w:lvl>
  </w:abstractNum>
  <w:abstractNum w:abstractNumId="22" w15:restartNumberingAfterBreak="0">
    <w:nsid w:val="3F72475B"/>
    <w:multiLevelType w:val="hybridMultilevel"/>
    <w:tmpl w:val="6BFC365E"/>
    <w:lvl w:ilvl="0" w:tplc="04020001">
      <w:start w:val="1"/>
      <w:numFmt w:val="bullet"/>
      <w:lvlText w:val=""/>
      <w:lvlJc w:val="left"/>
      <w:pPr>
        <w:ind w:left="674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3" w15:restartNumberingAfterBreak="0">
    <w:nsid w:val="3FE31E5E"/>
    <w:multiLevelType w:val="hybridMultilevel"/>
    <w:tmpl w:val="7602C3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22130DD"/>
    <w:multiLevelType w:val="multilevel"/>
    <w:tmpl w:val="6404653C"/>
    <w:lvl w:ilvl="0">
      <w:start w:val="1"/>
      <w:numFmt w:val="decimal"/>
      <w:lvlText w:val="%1."/>
      <w:lvlJc w:val="left"/>
      <w:pPr>
        <w:ind w:left="1462" w:hanging="483"/>
        <w:jc w:val="left"/>
      </w:pPr>
      <w:rPr>
        <w:rFonts w:ascii="Times New Roman" w:eastAsia="Times New Roman" w:hAnsi="Times New Roman" w:cs="Times New Roman" w:hint="default"/>
        <w:b/>
        <w:bCs/>
        <w:spacing w:val="0"/>
        <w:w w:val="100"/>
        <w:sz w:val="28"/>
        <w:szCs w:val="28"/>
        <w:lang w:val="bg-BG" w:eastAsia="en-US" w:bidi="ar-SA"/>
      </w:rPr>
    </w:lvl>
    <w:lvl w:ilvl="1">
      <w:start w:val="1"/>
      <w:numFmt w:val="decimal"/>
      <w:lvlText w:val="%1.%2."/>
      <w:lvlJc w:val="left"/>
      <w:pPr>
        <w:ind w:left="2182" w:hanging="720"/>
        <w:jc w:val="left"/>
      </w:pPr>
      <w:rPr>
        <w:rFonts w:ascii="Times New Roman" w:eastAsia="Times New Roman" w:hAnsi="Times New Roman" w:cs="Times New Roman" w:hint="default"/>
        <w:b/>
        <w:bCs/>
        <w:w w:val="100"/>
        <w:sz w:val="24"/>
        <w:szCs w:val="24"/>
        <w:lang w:val="bg-BG" w:eastAsia="en-US" w:bidi="ar-SA"/>
      </w:rPr>
    </w:lvl>
    <w:lvl w:ilvl="2">
      <w:start w:val="1"/>
      <w:numFmt w:val="decimal"/>
      <w:lvlText w:val="%1.%2.%3."/>
      <w:lvlJc w:val="left"/>
      <w:pPr>
        <w:ind w:left="2902" w:hanging="720"/>
        <w:jc w:val="left"/>
      </w:pPr>
      <w:rPr>
        <w:rFonts w:ascii="Times New Roman" w:eastAsia="Times New Roman" w:hAnsi="Times New Roman" w:cs="Times New Roman" w:hint="default"/>
        <w:i/>
        <w:iCs/>
        <w:w w:val="100"/>
        <w:sz w:val="24"/>
        <w:szCs w:val="24"/>
        <w:lang w:val="bg-BG" w:eastAsia="en-US" w:bidi="ar-SA"/>
      </w:rPr>
    </w:lvl>
    <w:lvl w:ilvl="3">
      <w:numFmt w:val="bullet"/>
      <w:lvlText w:val="•"/>
      <w:lvlJc w:val="left"/>
      <w:pPr>
        <w:ind w:left="3910" w:hanging="720"/>
      </w:pPr>
      <w:rPr>
        <w:rFonts w:hint="default"/>
        <w:lang w:val="bg-BG" w:eastAsia="en-US" w:bidi="ar-SA"/>
      </w:rPr>
    </w:lvl>
    <w:lvl w:ilvl="4">
      <w:numFmt w:val="bullet"/>
      <w:lvlText w:val="•"/>
      <w:lvlJc w:val="left"/>
      <w:pPr>
        <w:ind w:left="4921" w:hanging="720"/>
      </w:pPr>
      <w:rPr>
        <w:rFonts w:hint="default"/>
        <w:lang w:val="bg-BG" w:eastAsia="en-US" w:bidi="ar-SA"/>
      </w:rPr>
    </w:lvl>
    <w:lvl w:ilvl="5">
      <w:numFmt w:val="bullet"/>
      <w:lvlText w:val="•"/>
      <w:lvlJc w:val="left"/>
      <w:pPr>
        <w:ind w:left="5932" w:hanging="720"/>
      </w:pPr>
      <w:rPr>
        <w:rFonts w:hint="default"/>
        <w:lang w:val="bg-BG" w:eastAsia="en-US" w:bidi="ar-SA"/>
      </w:rPr>
    </w:lvl>
    <w:lvl w:ilvl="6">
      <w:numFmt w:val="bullet"/>
      <w:lvlText w:val="•"/>
      <w:lvlJc w:val="left"/>
      <w:pPr>
        <w:ind w:left="6943" w:hanging="720"/>
      </w:pPr>
      <w:rPr>
        <w:rFonts w:hint="default"/>
        <w:lang w:val="bg-BG" w:eastAsia="en-US" w:bidi="ar-SA"/>
      </w:rPr>
    </w:lvl>
    <w:lvl w:ilvl="7">
      <w:numFmt w:val="bullet"/>
      <w:lvlText w:val="•"/>
      <w:lvlJc w:val="left"/>
      <w:pPr>
        <w:ind w:left="7954" w:hanging="720"/>
      </w:pPr>
      <w:rPr>
        <w:rFonts w:hint="default"/>
        <w:lang w:val="bg-BG" w:eastAsia="en-US" w:bidi="ar-SA"/>
      </w:rPr>
    </w:lvl>
    <w:lvl w:ilvl="8">
      <w:numFmt w:val="bullet"/>
      <w:lvlText w:val="•"/>
      <w:lvlJc w:val="left"/>
      <w:pPr>
        <w:ind w:left="8964" w:hanging="720"/>
      </w:pPr>
      <w:rPr>
        <w:rFonts w:hint="default"/>
        <w:lang w:val="bg-BG" w:eastAsia="en-US" w:bidi="ar-SA"/>
      </w:rPr>
    </w:lvl>
  </w:abstractNum>
  <w:abstractNum w:abstractNumId="25" w15:restartNumberingAfterBreak="0">
    <w:nsid w:val="43BC336D"/>
    <w:multiLevelType w:val="hybridMultilevel"/>
    <w:tmpl w:val="B980FE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6766B55"/>
    <w:multiLevelType w:val="hybridMultilevel"/>
    <w:tmpl w:val="D6527E24"/>
    <w:lvl w:ilvl="0" w:tplc="B83417E6">
      <w:numFmt w:val="bullet"/>
      <w:lvlText w:val=""/>
      <w:lvlJc w:val="left"/>
      <w:pPr>
        <w:ind w:left="534" w:hanging="284"/>
      </w:pPr>
      <w:rPr>
        <w:rFonts w:ascii="Wingdings" w:eastAsia="Wingdings" w:hAnsi="Wingdings" w:cs="Wingdings" w:hint="default"/>
        <w:w w:val="100"/>
        <w:sz w:val="22"/>
        <w:szCs w:val="22"/>
        <w:lang w:val="bg-BG" w:eastAsia="en-US" w:bidi="ar-SA"/>
      </w:rPr>
    </w:lvl>
    <w:lvl w:ilvl="1" w:tplc="359AC588">
      <w:numFmt w:val="bullet"/>
      <w:lvlText w:val="•"/>
      <w:lvlJc w:val="left"/>
      <w:pPr>
        <w:ind w:left="927" w:hanging="284"/>
      </w:pPr>
      <w:rPr>
        <w:rFonts w:hint="default"/>
        <w:lang w:val="bg-BG" w:eastAsia="en-US" w:bidi="ar-SA"/>
      </w:rPr>
    </w:lvl>
    <w:lvl w:ilvl="2" w:tplc="A6C8F736">
      <w:numFmt w:val="bullet"/>
      <w:lvlText w:val="•"/>
      <w:lvlJc w:val="left"/>
      <w:pPr>
        <w:ind w:left="1314" w:hanging="284"/>
      </w:pPr>
      <w:rPr>
        <w:rFonts w:hint="default"/>
        <w:lang w:val="bg-BG" w:eastAsia="en-US" w:bidi="ar-SA"/>
      </w:rPr>
    </w:lvl>
    <w:lvl w:ilvl="3" w:tplc="6FF6D2FE">
      <w:numFmt w:val="bullet"/>
      <w:lvlText w:val="•"/>
      <w:lvlJc w:val="left"/>
      <w:pPr>
        <w:ind w:left="1702" w:hanging="284"/>
      </w:pPr>
      <w:rPr>
        <w:rFonts w:hint="default"/>
        <w:lang w:val="bg-BG" w:eastAsia="en-US" w:bidi="ar-SA"/>
      </w:rPr>
    </w:lvl>
    <w:lvl w:ilvl="4" w:tplc="0E789284">
      <w:numFmt w:val="bullet"/>
      <w:lvlText w:val="•"/>
      <w:lvlJc w:val="left"/>
      <w:pPr>
        <w:ind w:left="2089" w:hanging="284"/>
      </w:pPr>
      <w:rPr>
        <w:rFonts w:hint="default"/>
        <w:lang w:val="bg-BG" w:eastAsia="en-US" w:bidi="ar-SA"/>
      </w:rPr>
    </w:lvl>
    <w:lvl w:ilvl="5" w:tplc="5406DD66">
      <w:numFmt w:val="bullet"/>
      <w:lvlText w:val="•"/>
      <w:lvlJc w:val="left"/>
      <w:pPr>
        <w:ind w:left="2477" w:hanging="284"/>
      </w:pPr>
      <w:rPr>
        <w:rFonts w:hint="default"/>
        <w:lang w:val="bg-BG" w:eastAsia="en-US" w:bidi="ar-SA"/>
      </w:rPr>
    </w:lvl>
    <w:lvl w:ilvl="6" w:tplc="17849B80">
      <w:numFmt w:val="bullet"/>
      <w:lvlText w:val="•"/>
      <w:lvlJc w:val="left"/>
      <w:pPr>
        <w:ind w:left="2864" w:hanging="284"/>
      </w:pPr>
      <w:rPr>
        <w:rFonts w:hint="default"/>
        <w:lang w:val="bg-BG" w:eastAsia="en-US" w:bidi="ar-SA"/>
      </w:rPr>
    </w:lvl>
    <w:lvl w:ilvl="7" w:tplc="2D100B30">
      <w:numFmt w:val="bullet"/>
      <w:lvlText w:val="•"/>
      <w:lvlJc w:val="left"/>
      <w:pPr>
        <w:ind w:left="3251" w:hanging="284"/>
      </w:pPr>
      <w:rPr>
        <w:rFonts w:hint="default"/>
        <w:lang w:val="bg-BG" w:eastAsia="en-US" w:bidi="ar-SA"/>
      </w:rPr>
    </w:lvl>
    <w:lvl w:ilvl="8" w:tplc="9B48B7DE">
      <w:numFmt w:val="bullet"/>
      <w:lvlText w:val="•"/>
      <w:lvlJc w:val="left"/>
      <w:pPr>
        <w:ind w:left="3639" w:hanging="284"/>
      </w:pPr>
      <w:rPr>
        <w:rFonts w:hint="default"/>
        <w:lang w:val="bg-BG" w:eastAsia="en-US" w:bidi="ar-SA"/>
      </w:rPr>
    </w:lvl>
  </w:abstractNum>
  <w:abstractNum w:abstractNumId="27" w15:restartNumberingAfterBreak="0">
    <w:nsid w:val="47F77FDD"/>
    <w:multiLevelType w:val="multilevel"/>
    <w:tmpl w:val="1F5C7C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C505FED"/>
    <w:multiLevelType w:val="hybridMultilevel"/>
    <w:tmpl w:val="AF1EB6F4"/>
    <w:lvl w:ilvl="0" w:tplc="41689E08">
      <w:numFmt w:val="bullet"/>
      <w:lvlText w:val=""/>
      <w:lvlJc w:val="left"/>
      <w:pPr>
        <w:ind w:left="707" w:hanging="428"/>
      </w:pPr>
      <w:rPr>
        <w:rFonts w:ascii="Wingdings" w:eastAsia="Wingdings" w:hAnsi="Wingdings" w:cs="Wingdings" w:hint="default"/>
        <w:w w:val="100"/>
        <w:sz w:val="22"/>
        <w:szCs w:val="22"/>
        <w:lang w:val="bg-BG" w:eastAsia="en-US" w:bidi="ar-SA"/>
      </w:rPr>
    </w:lvl>
    <w:lvl w:ilvl="1" w:tplc="0972D1E2">
      <w:numFmt w:val="bullet"/>
      <w:lvlText w:val="•"/>
      <w:lvlJc w:val="left"/>
      <w:pPr>
        <w:ind w:left="1071" w:hanging="428"/>
      </w:pPr>
      <w:rPr>
        <w:rFonts w:hint="default"/>
        <w:lang w:val="bg-BG" w:eastAsia="en-US" w:bidi="ar-SA"/>
      </w:rPr>
    </w:lvl>
    <w:lvl w:ilvl="2" w:tplc="404ADCD4">
      <w:numFmt w:val="bullet"/>
      <w:lvlText w:val="•"/>
      <w:lvlJc w:val="left"/>
      <w:pPr>
        <w:ind w:left="1442" w:hanging="428"/>
      </w:pPr>
      <w:rPr>
        <w:rFonts w:hint="default"/>
        <w:lang w:val="bg-BG" w:eastAsia="en-US" w:bidi="ar-SA"/>
      </w:rPr>
    </w:lvl>
    <w:lvl w:ilvl="3" w:tplc="494670BC">
      <w:numFmt w:val="bullet"/>
      <w:lvlText w:val="•"/>
      <w:lvlJc w:val="left"/>
      <w:pPr>
        <w:ind w:left="1814" w:hanging="428"/>
      </w:pPr>
      <w:rPr>
        <w:rFonts w:hint="default"/>
        <w:lang w:val="bg-BG" w:eastAsia="en-US" w:bidi="ar-SA"/>
      </w:rPr>
    </w:lvl>
    <w:lvl w:ilvl="4" w:tplc="3E0CA10E">
      <w:numFmt w:val="bullet"/>
      <w:lvlText w:val="•"/>
      <w:lvlJc w:val="left"/>
      <w:pPr>
        <w:ind w:left="2185" w:hanging="428"/>
      </w:pPr>
      <w:rPr>
        <w:rFonts w:hint="default"/>
        <w:lang w:val="bg-BG" w:eastAsia="en-US" w:bidi="ar-SA"/>
      </w:rPr>
    </w:lvl>
    <w:lvl w:ilvl="5" w:tplc="1CA42538">
      <w:numFmt w:val="bullet"/>
      <w:lvlText w:val="•"/>
      <w:lvlJc w:val="left"/>
      <w:pPr>
        <w:ind w:left="2557" w:hanging="428"/>
      </w:pPr>
      <w:rPr>
        <w:rFonts w:hint="default"/>
        <w:lang w:val="bg-BG" w:eastAsia="en-US" w:bidi="ar-SA"/>
      </w:rPr>
    </w:lvl>
    <w:lvl w:ilvl="6" w:tplc="6142A3DC">
      <w:numFmt w:val="bullet"/>
      <w:lvlText w:val="•"/>
      <w:lvlJc w:val="left"/>
      <w:pPr>
        <w:ind w:left="2928" w:hanging="428"/>
      </w:pPr>
      <w:rPr>
        <w:rFonts w:hint="default"/>
        <w:lang w:val="bg-BG" w:eastAsia="en-US" w:bidi="ar-SA"/>
      </w:rPr>
    </w:lvl>
    <w:lvl w:ilvl="7" w:tplc="BF64F52A">
      <w:numFmt w:val="bullet"/>
      <w:lvlText w:val="•"/>
      <w:lvlJc w:val="left"/>
      <w:pPr>
        <w:ind w:left="3299" w:hanging="428"/>
      </w:pPr>
      <w:rPr>
        <w:rFonts w:hint="default"/>
        <w:lang w:val="bg-BG" w:eastAsia="en-US" w:bidi="ar-SA"/>
      </w:rPr>
    </w:lvl>
    <w:lvl w:ilvl="8" w:tplc="E1F8991E">
      <w:numFmt w:val="bullet"/>
      <w:lvlText w:val="•"/>
      <w:lvlJc w:val="left"/>
      <w:pPr>
        <w:ind w:left="3671" w:hanging="428"/>
      </w:pPr>
      <w:rPr>
        <w:rFonts w:hint="default"/>
        <w:lang w:val="bg-BG" w:eastAsia="en-US" w:bidi="ar-SA"/>
      </w:rPr>
    </w:lvl>
  </w:abstractNum>
  <w:abstractNum w:abstractNumId="29" w15:restartNumberingAfterBreak="0">
    <w:nsid w:val="532C7956"/>
    <w:multiLevelType w:val="multilevel"/>
    <w:tmpl w:val="717AD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6C1C40"/>
    <w:multiLevelType w:val="multilevel"/>
    <w:tmpl w:val="18189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8027DFA"/>
    <w:multiLevelType w:val="hybridMultilevel"/>
    <w:tmpl w:val="5CF0B5CA"/>
    <w:lvl w:ilvl="0" w:tplc="BCF202C8">
      <w:numFmt w:val="bullet"/>
      <w:lvlText w:val=""/>
      <w:lvlJc w:val="left"/>
      <w:pPr>
        <w:ind w:left="707" w:hanging="428"/>
      </w:pPr>
      <w:rPr>
        <w:rFonts w:ascii="Wingdings" w:eastAsia="Wingdings" w:hAnsi="Wingdings" w:cs="Wingdings" w:hint="default"/>
        <w:w w:val="100"/>
        <w:sz w:val="22"/>
        <w:szCs w:val="22"/>
        <w:lang w:val="bg-BG" w:eastAsia="en-US" w:bidi="ar-SA"/>
      </w:rPr>
    </w:lvl>
    <w:lvl w:ilvl="1" w:tplc="286C1E5E">
      <w:numFmt w:val="bullet"/>
      <w:lvlText w:val="•"/>
      <w:lvlJc w:val="left"/>
      <w:pPr>
        <w:ind w:left="1071" w:hanging="428"/>
      </w:pPr>
      <w:rPr>
        <w:rFonts w:hint="default"/>
        <w:lang w:val="bg-BG" w:eastAsia="en-US" w:bidi="ar-SA"/>
      </w:rPr>
    </w:lvl>
    <w:lvl w:ilvl="2" w:tplc="455A076A">
      <w:numFmt w:val="bullet"/>
      <w:lvlText w:val="•"/>
      <w:lvlJc w:val="left"/>
      <w:pPr>
        <w:ind w:left="1442" w:hanging="428"/>
      </w:pPr>
      <w:rPr>
        <w:rFonts w:hint="default"/>
        <w:lang w:val="bg-BG" w:eastAsia="en-US" w:bidi="ar-SA"/>
      </w:rPr>
    </w:lvl>
    <w:lvl w:ilvl="3" w:tplc="EE12BF5C">
      <w:numFmt w:val="bullet"/>
      <w:lvlText w:val="•"/>
      <w:lvlJc w:val="left"/>
      <w:pPr>
        <w:ind w:left="1814" w:hanging="428"/>
      </w:pPr>
      <w:rPr>
        <w:rFonts w:hint="default"/>
        <w:lang w:val="bg-BG" w:eastAsia="en-US" w:bidi="ar-SA"/>
      </w:rPr>
    </w:lvl>
    <w:lvl w:ilvl="4" w:tplc="BBC27882">
      <w:numFmt w:val="bullet"/>
      <w:lvlText w:val="•"/>
      <w:lvlJc w:val="left"/>
      <w:pPr>
        <w:ind w:left="2185" w:hanging="428"/>
      </w:pPr>
      <w:rPr>
        <w:rFonts w:hint="default"/>
        <w:lang w:val="bg-BG" w:eastAsia="en-US" w:bidi="ar-SA"/>
      </w:rPr>
    </w:lvl>
    <w:lvl w:ilvl="5" w:tplc="761A582C">
      <w:numFmt w:val="bullet"/>
      <w:lvlText w:val="•"/>
      <w:lvlJc w:val="left"/>
      <w:pPr>
        <w:ind w:left="2557" w:hanging="428"/>
      </w:pPr>
      <w:rPr>
        <w:rFonts w:hint="default"/>
        <w:lang w:val="bg-BG" w:eastAsia="en-US" w:bidi="ar-SA"/>
      </w:rPr>
    </w:lvl>
    <w:lvl w:ilvl="6" w:tplc="2A3454AA">
      <w:numFmt w:val="bullet"/>
      <w:lvlText w:val="•"/>
      <w:lvlJc w:val="left"/>
      <w:pPr>
        <w:ind w:left="2928" w:hanging="428"/>
      </w:pPr>
      <w:rPr>
        <w:rFonts w:hint="default"/>
        <w:lang w:val="bg-BG" w:eastAsia="en-US" w:bidi="ar-SA"/>
      </w:rPr>
    </w:lvl>
    <w:lvl w:ilvl="7" w:tplc="73F0351C">
      <w:numFmt w:val="bullet"/>
      <w:lvlText w:val="•"/>
      <w:lvlJc w:val="left"/>
      <w:pPr>
        <w:ind w:left="3299" w:hanging="428"/>
      </w:pPr>
      <w:rPr>
        <w:rFonts w:hint="default"/>
        <w:lang w:val="bg-BG" w:eastAsia="en-US" w:bidi="ar-SA"/>
      </w:rPr>
    </w:lvl>
    <w:lvl w:ilvl="8" w:tplc="D2C6B010">
      <w:numFmt w:val="bullet"/>
      <w:lvlText w:val="•"/>
      <w:lvlJc w:val="left"/>
      <w:pPr>
        <w:ind w:left="3671" w:hanging="428"/>
      </w:pPr>
      <w:rPr>
        <w:rFonts w:hint="default"/>
        <w:lang w:val="bg-BG" w:eastAsia="en-US" w:bidi="ar-SA"/>
      </w:rPr>
    </w:lvl>
  </w:abstractNum>
  <w:abstractNum w:abstractNumId="32" w15:restartNumberingAfterBreak="0">
    <w:nsid w:val="5A0257A2"/>
    <w:multiLevelType w:val="hybridMultilevel"/>
    <w:tmpl w:val="33744852"/>
    <w:lvl w:ilvl="0" w:tplc="04020007">
      <w:start w:val="1"/>
      <w:numFmt w:val="bullet"/>
      <w:lvlText w:val=""/>
      <w:lvlPicBulletId w:val="0"/>
      <w:lvlJc w:val="left"/>
      <w:pPr>
        <w:tabs>
          <w:tab w:val="num" w:pos="360"/>
        </w:tabs>
        <w:ind w:left="36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DAB360B"/>
    <w:multiLevelType w:val="multilevel"/>
    <w:tmpl w:val="6404653C"/>
    <w:lvl w:ilvl="0">
      <w:start w:val="1"/>
      <w:numFmt w:val="decimal"/>
      <w:lvlText w:val="%1."/>
      <w:lvlJc w:val="left"/>
      <w:pPr>
        <w:ind w:left="1462" w:hanging="483"/>
        <w:jc w:val="left"/>
      </w:pPr>
      <w:rPr>
        <w:rFonts w:ascii="Times New Roman" w:eastAsia="Times New Roman" w:hAnsi="Times New Roman" w:cs="Times New Roman" w:hint="default"/>
        <w:b/>
        <w:bCs/>
        <w:spacing w:val="0"/>
        <w:w w:val="100"/>
        <w:sz w:val="28"/>
        <w:szCs w:val="28"/>
        <w:lang w:val="bg-BG" w:eastAsia="en-US" w:bidi="ar-SA"/>
      </w:rPr>
    </w:lvl>
    <w:lvl w:ilvl="1">
      <w:start w:val="1"/>
      <w:numFmt w:val="decimal"/>
      <w:lvlText w:val="%1.%2."/>
      <w:lvlJc w:val="left"/>
      <w:pPr>
        <w:ind w:left="2182" w:hanging="720"/>
        <w:jc w:val="left"/>
      </w:pPr>
      <w:rPr>
        <w:rFonts w:ascii="Times New Roman" w:eastAsia="Times New Roman" w:hAnsi="Times New Roman" w:cs="Times New Roman" w:hint="default"/>
        <w:b/>
        <w:bCs/>
        <w:w w:val="100"/>
        <w:sz w:val="24"/>
        <w:szCs w:val="24"/>
        <w:lang w:val="bg-BG" w:eastAsia="en-US" w:bidi="ar-SA"/>
      </w:rPr>
    </w:lvl>
    <w:lvl w:ilvl="2">
      <w:start w:val="1"/>
      <w:numFmt w:val="decimal"/>
      <w:lvlText w:val="%1.%2.%3."/>
      <w:lvlJc w:val="left"/>
      <w:pPr>
        <w:ind w:left="2902" w:hanging="720"/>
        <w:jc w:val="left"/>
      </w:pPr>
      <w:rPr>
        <w:rFonts w:ascii="Times New Roman" w:eastAsia="Times New Roman" w:hAnsi="Times New Roman" w:cs="Times New Roman" w:hint="default"/>
        <w:i/>
        <w:iCs/>
        <w:w w:val="100"/>
        <w:sz w:val="24"/>
        <w:szCs w:val="24"/>
        <w:lang w:val="bg-BG" w:eastAsia="en-US" w:bidi="ar-SA"/>
      </w:rPr>
    </w:lvl>
    <w:lvl w:ilvl="3">
      <w:numFmt w:val="bullet"/>
      <w:lvlText w:val="•"/>
      <w:lvlJc w:val="left"/>
      <w:pPr>
        <w:ind w:left="3910" w:hanging="720"/>
      </w:pPr>
      <w:rPr>
        <w:rFonts w:hint="default"/>
        <w:lang w:val="bg-BG" w:eastAsia="en-US" w:bidi="ar-SA"/>
      </w:rPr>
    </w:lvl>
    <w:lvl w:ilvl="4">
      <w:numFmt w:val="bullet"/>
      <w:lvlText w:val="•"/>
      <w:lvlJc w:val="left"/>
      <w:pPr>
        <w:ind w:left="4921" w:hanging="720"/>
      </w:pPr>
      <w:rPr>
        <w:rFonts w:hint="default"/>
        <w:lang w:val="bg-BG" w:eastAsia="en-US" w:bidi="ar-SA"/>
      </w:rPr>
    </w:lvl>
    <w:lvl w:ilvl="5">
      <w:numFmt w:val="bullet"/>
      <w:lvlText w:val="•"/>
      <w:lvlJc w:val="left"/>
      <w:pPr>
        <w:ind w:left="5932" w:hanging="720"/>
      </w:pPr>
      <w:rPr>
        <w:rFonts w:hint="default"/>
        <w:lang w:val="bg-BG" w:eastAsia="en-US" w:bidi="ar-SA"/>
      </w:rPr>
    </w:lvl>
    <w:lvl w:ilvl="6">
      <w:numFmt w:val="bullet"/>
      <w:lvlText w:val="•"/>
      <w:lvlJc w:val="left"/>
      <w:pPr>
        <w:ind w:left="6943" w:hanging="720"/>
      </w:pPr>
      <w:rPr>
        <w:rFonts w:hint="default"/>
        <w:lang w:val="bg-BG" w:eastAsia="en-US" w:bidi="ar-SA"/>
      </w:rPr>
    </w:lvl>
    <w:lvl w:ilvl="7">
      <w:numFmt w:val="bullet"/>
      <w:lvlText w:val="•"/>
      <w:lvlJc w:val="left"/>
      <w:pPr>
        <w:ind w:left="7954" w:hanging="720"/>
      </w:pPr>
      <w:rPr>
        <w:rFonts w:hint="default"/>
        <w:lang w:val="bg-BG" w:eastAsia="en-US" w:bidi="ar-SA"/>
      </w:rPr>
    </w:lvl>
    <w:lvl w:ilvl="8">
      <w:numFmt w:val="bullet"/>
      <w:lvlText w:val="•"/>
      <w:lvlJc w:val="left"/>
      <w:pPr>
        <w:ind w:left="8964" w:hanging="720"/>
      </w:pPr>
      <w:rPr>
        <w:rFonts w:hint="default"/>
        <w:lang w:val="bg-BG" w:eastAsia="en-US" w:bidi="ar-SA"/>
      </w:rPr>
    </w:lvl>
  </w:abstractNum>
  <w:abstractNum w:abstractNumId="34" w15:restartNumberingAfterBreak="0">
    <w:nsid w:val="61B64625"/>
    <w:multiLevelType w:val="multilevel"/>
    <w:tmpl w:val="74AC7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8B113B5"/>
    <w:multiLevelType w:val="hybridMultilevel"/>
    <w:tmpl w:val="760044F8"/>
    <w:lvl w:ilvl="0" w:tplc="681A09E0">
      <w:numFmt w:val="bullet"/>
      <w:lvlText w:val=""/>
      <w:lvlJc w:val="left"/>
      <w:pPr>
        <w:ind w:left="534" w:hanging="284"/>
      </w:pPr>
      <w:rPr>
        <w:rFonts w:ascii="Wingdings" w:eastAsia="Wingdings" w:hAnsi="Wingdings" w:cs="Wingdings" w:hint="default"/>
        <w:w w:val="100"/>
        <w:sz w:val="22"/>
        <w:szCs w:val="22"/>
        <w:lang w:val="bg-BG" w:eastAsia="en-US" w:bidi="ar-SA"/>
      </w:rPr>
    </w:lvl>
    <w:lvl w:ilvl="1" w:tplc="3782D580">
      <w:numFmt w:val="bullet"/>
      <w:lvlText w:val="•"/>
      <w:lvlJc w:val="left"/>
      <w:pPr>
        <w:ind w:left="927" w:hanging="284"/>
      </w:pPr>
      <w:rPr>
        <w:rFonts w:hint="default"/>
        <w:lang w:val="bg-BG" w:eastAsia="en-US" w:bidi="ar-SA"/>
      </w:rPr>
    </w:lvl>
    <w:lvl w:ilvl="2" w:tplc="44840952">
      <w:numFmt w:val="bullet"/>
      <w:lvlText w:val="•"/>
      <w:lvlJc w:val="left"/>
      <w:pPr>
        <w:ind w:left="1314" w:hanging="284"/>
      </w:pPr>
      <w:rPr>
        <w:rFonts w:hint="default"/>
        <w:lang w:val="bg-BG" w:eastAsia="en-US" w:bidi="ar-SA"/>
      </w:rPr>
    </w:lvl>
    <w:lvl w:ilvl="3" w:tplc="E02E018A">
      <w:numFmt w:val="bullet"/>
      <w:lvlText w:val="•"/>
      <w:lvlJc w:val="left"/>
      <w:pPr>
        <w:ind w:left="1702" w:hanging="284"/>
      </w:pPr>
      <w:rPr>
        <w:rFonts w:hint="default"/>
        <w:lang w:val="bg-BG" w:eastAsia="en-US" w:bidi="ar-SA"/>
      </w:rPr>
    </w:lvl>
    <w:lvl w:ilvl="4" w:tplc="889C529E">
      <w:numFmt w:val="bullet"/>
      <w:lvlText w:val="•"/>
      <w:lvlJc w:val="left"/>
      <w:pPr>
        <w:ind w:left="2089" w:hanging="284"/>
      </w:pPr>
      <w:rPr>
        <w:rFonts w:hint="default"/>
        <w:lang w:val="bg-BG" w:eastAsia="en-US" w:bidi="ar-SA"/>
      </w:rPr>
    </w:lvl>
    <w:lvl w:ilvl="5" w:tplc="FCC8107A">
      <w:numFmt w:val="bullet"/>
      <w:lvlText w:val="•"/>
      <w:lvlJc w:val="left"/>
      <w:pPr>
        <w:ind w:left="2477" w:hanging="284"/>
      </w:pPr>
      <w:rPr>
        <w:rFonts w:hint="default"/>
        <w:lang w:val="bg-BG" w:eastAsia="en-US" w:bidi="ar-SA"/>
      </w:rPr>
    </w:lvl>
    <w:lvl w:ilvl="6" w:tplc="942852AE">
      <w:numFmt w:val="bullet"/>
      <w:lvlText w:val="•"/>
      <w:lvlJc w:val="left"/>
      <w:pPr>
        <w:ind w:left="2864" w:hanging="284"/>
      </w:pPr>
      <w:rPr>
        <w:rFonts w:hint="default"/>
        <w:lang w:val="bg-BG" w:eastAsia="en-US" w:bidi="ar-SA"/>
      </w:rPr>
    </w:lvl>
    <w:lvl w:ilvl="7" w:tplc="4192E41A">
      <w:numFmt w:val="bullet"/>
      <w:lvlText w:val="•"/>
      <w:lvlJc w:val="left"/>
      <w:pPr>
        <w:ind w:left="3251" w:hanging="284"/>
      </w:pPr>
      <w:rPr>
        <w:rFonts w:hint="default"/>
        <w:lang w:val="bg-BG" w:eastAsia="en-US" w:bidi="ar-SA"/>
      </w:rPr>
    </w:lvl>
    <w:lvl w:ilvl="8" w:tplc="35CAF7BC">
      <w:numFmt w:val="bullet"/>
      <w:lvlText w:val="•"/>
      <w:lvlJc w:val="left"/>
      <w:pPr>
        <w:ind w:left="3639" w:hanging="284"/>
      </w:pPr>
      <w:rPr>
        <w:rFonts w:hint="default"/>
        <w:lang w:val="bg-BG" w:eastAsia="en-US" w:bidi="ar-SA"/>
      </w:rPr>
    </w:lvl>
  </w:abstractNum>
  <w:abstractNum w:abstractNumId="36" w15:restartNumberingAfterBreak="0">
    <w:nsid w:val="6E51651C"/>
    <w:multiLevelType w:val="hybridMultilevel"/>
    <w:tmpl w:val="6E02DBE6"/>
    <w:lvl w:ilvl="0" w:tplc="04020007">
      <w:start w:val="1"/>
      <w:numFmt w:val="bullet"/>
      <w:lvlText w:val=""/>
      <w:lvlPicBulletId w:val="0"/>
      <w:lvlJc w:val="left"/>
      <w:pPr>
        <w:tabs>
          <w:tab w:val="num" w:pos="360"/>
        </w:tabs>
        <w:ind w:left="36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7013670C"/>
    <w:multiLevelType w:val="hybridMultilevel"/>
    <w:tmpl w:val="61FC7330"/>
    <w:lvl w:ilvl="0" w:tplc="04020007">
      <w:start w:val="1"/>
      <w:numFmt w:val="bullet"/>
      <w:lvlText w:val=""/>
      <w:lvlPicBulletId w:val="0"/>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8" w15:restartNumberingAfterBreak="0">
    <w:nsid w:val="7086082E"/>
    <w:multiLevelType w:val="hybridMultilevel"/>
    <w:tmpl w:val="F1ACE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40F2821"/>
    <w:multiLevelType w:val="multilevel"/>
    <w:tmpl w:val="6404653C"/>
    <w:lvl w:ilvl="0">
      <w:start w:val="1"/>
      <w:numFmt w:val="decimal"/>
      <w:lvlText w:val="%1."/>
      <w:lvlJc w:val="left"/>
      <w:pPr>
        <w:ind w:left="1462" w:hanging="483"/>
        <w:jc w:val="left"/>
      </w:pPr>
      <w:rPr>
        <w:rFonts w:ascii="Times New Roman" w:eastAsia="Times New Roman" w:hAnsi="Times New Roman" w:cs="Times New Roman" w:hint="default"/>
        <w:b/>
        <w:bCs/>
        <w:spacing w:val="0"/>
        <w:w w:val="100"/>
        <w:sz w:val="28"/>
        <w:szCs w:val="28"/>
        <w:lang w:val="bg-BG" w:eastAsia="en-US" w:bidi="ar-SA"/>
      </w:rPr>
    </w:lvl>
    <w:lvl w:ilvl="1">
      <w:start w:val="1"/>
      <w:numFmt w:val="decimal"/>
      <w:lvlText w:val="%1.%2."/>
      <w:lvlJc w:val="left"/>
      <w:pPr>
        <w:ind w:left="2182" w:hanging="720"/>
        <w:jc w:val="left"/>
      </w:pPr>
      <w:rPr>
        <w:rFonts w:ascii="Times New Roman" w:eastAsia="Times New Roman" w:hAnsi="Times New Roman" w:cs="Times New Roman" w:hint="default"/>
        <w:b/>
        <w:bCs/>
        <w:w w:val="100"/>
        <w:sz w:val="24"/>
        <w:szCs w:val="24"/>
        <w:lang w:val="bg-BG" w:eastAsia="en-US" w:bidi="ar-SA"/>
      </w:rPr>
    </w:lvl>
    <w:lvl w:ilvl="2">
      <w:start w:val="1"/>
      <w:numFmt w:val="decimal"/>
      <w:lvlText w:val="%1.%2.%3."/>
      <w:lvlJc w:val="left"/>
      <w:pPr>
        <w:ind w:left="2902" w:hanging="720"/>
        <w:jc w:val="left"/>
      </w:pPr>
      <w:rPr>
        <w:rFonts w:ascii="Times New Roman" w:eastAsia="Times New Roman" w:hAnsi="Times New Roman" w:cs="Times New Roman" w:hint="default"/>
        <w:i/>
        <w:iCs/>
        <w:w w:val="100"/>
        <w:sz w:val="24"/>
        <w:szCs w:val="24"/>
        <w:lang w:val="bg-BG" w:eastAsia="en-US" w:bidi="ar-SA"/>
      </w:rPr>
    </w:lvl>
    <w:lvl w:ilvl="3">
      <w:numFmt w:val="bullet"/>
      <w:lvlText w:val="•"/>
      <w:lvlJc w:val="left"/>
      <w:pPr>
        <w:ind w:left="3910" w:hanging="720"/>
      </w:pPr>
      <w:rPr>
        <w:rFonts w:hint="default"/>
        <w:lang w:val="bg-BG" w:eastAsia="en-US" w:bidi="ar-SA"/>
      </w:rPr>
    </w:lvl>
    <w:lvl w:ilvl="4">
      <w:numFmt w:val="bullet"/>
      <w:lvlText w:val="•"/>
      <w:lvlJc w:val="left"/>
      <w:pPr>
        <w:ind w:left="4921" w:hanging="720"/>
      </w:pPr>
      <w:rPr>
        <w:rFonts w:hint="default"/>
        <w:lang w:val="bg-BG" w:eastAsia="en-US" w:bidi="ar-SA"/>
      </w:rPr>
    </w:lvl>
    <w:lvl w:ilvl="5">
      <w:numFmt w:val="bullet"/>
      <w:lvlText w:val="•"/>
      <w:lvlJc w:val="left"/>
      <w:pPr>
        <w:ind w:left="5932" w:hanging="720"/>
      </w:pPr>
      <w:rPr>
        <w:rFonts w:hint="default"/>
        <w:lang w:val="bg-BG" w:eastAsia="en-US" w:bidi="ar-SA"/>
      </w:rPr>
    </w:lvl>
    <w:lvl w:ilvl="6">
      <w:numFmt w:val="bullet"/>
      <w:lvlText w:val="•"/>
      <w:lvlJc w:val="left"/>
      <w:pPr>
        <w:ind w:left="6943" w:hanging="720"/>
      </w:pPr>
      <w:rPr>
        <w:rFonts w:hint="default"/>
        <w:lang w:val="bg-BG" w:eastAsia="en-US" w:bidi="ar-SA"/>
      </w:rPr>
    </w:lvl>
    <w:lvl w:ilvl="7">
      <w:numFmt w:val="bullet"/>
      <w:lvlText w:val="•"/>
      <w:lvlJc w:val="left"/>
      <w:pPr>
        <w:ind w:left="7954" w:hanging="720"/>
      </w:pPr>
      <w:rPr>
        <w:rFonts w:hint="default"/>
        <w:lang w:val="bg-BG" w:eastAsia="en-US" w:bidi="ar-SA"/>
      </w:rPr>
    </w:lvl>
    <w:lvl w:ilvl="8">
      <w:numFmt w:val="bullet"/>
      <w:lvlText w:val="•"/>
      <w:lvlJc w:val="left"/>
      <w:pPr>
        <w:ind w:left="8964" w:hanging="720"/>
      </w:pPr>
      <w:rPr>
        <w:rFonts w:hint="default"/>
        <w:lang w:val="bg-BG" w:eastAsia="en-US" w:bidi="ar-SA"/>
      </w:rPr>
    </w:lvl>
  </w:abstractNum>
  <w:abstractNum w:abstractNumId="40" w15:restartNumberingAfterBreak="0">
    <w:nsid w:val="789E1FAA"/>
    <w:multiLevelType w:val="hybridMultilevel"/>
    <w:tmpl w:val="3CE0B27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15:restartNumberingAfterBreak="0">
    <w:nsid w:val="7BC17576"/>
    <w:multiLevelType w:val="multilevel"/>
    <w:tmpl w:val="6404653C"/>
    <w:lvl w:ilvl="0">
      <w:start w:val="1"/>
      <w:numFmt w:val="decimal"/>
      <w:lvlText w:val="%1."/>
      <w:lvlJc w:val="left"/>
      <w:pPr>
        <w:ind w:left="1462" w:hanging="483"/>
        <w:jc w:val="left"/>
      </w:pPr>
      <w:rPr>
        <w:rFonts w:ascii="Times New Roman" w:eastAsia="Times New Roman" w:hAnsi="Times New Roman" w:cs="Times New Roman" w:hint="default"/>
        <w:b/>
        <w:bCs/>
        <w:spacing w:val="0"/>
        <w:w w:val="100"/>
        <w:sz w:val="28"/>
        <w:szCs w:val="28"/>
        <w:lang w:val="bg-BG" w:eastAsia="en-US" w:bidi="ar-SA"/>
      </w:rPr>
    </w:lvl>
    <w:lvl w:ilvl="1">
      <w:start w:val="1"/>
      <w:numFmt w:val="decimal"/>
      <w:lvlText w:val="%1.%2."/>
      <w:lvlJc w:val="left"/>
      <w:pPr>
        <w:ind w:left="2182" w:hanging="720"/>
        <w:jc w:val="left"/>
      </w:pPr>
      <w:rPr>
        <w:rFonts w:ascii="Times New Roman" w:eastAsia="Times New Roman" w:hAnsi="Times New Roman" w:cs="Times New Roman" w:hint="default"/>
        <w:b/>
        <w:bCs/>
        <w:w w:val="100"/>
        <w:sz w:val="24"/>
        <w:szCs w:val="24"/>
        <w:lang w:val="bg-BG" w:eastAsia="en-US" w:bidi="ar-SA"/>
      </w:rPr>
    </w:lvl>
    <w:lvl w:ilvl="2">
      <w:start w:val="1"/>
      <w:numFmt w:val="decimal"/>
      <w:lvlText w:val="%1.%2.%3."/>
      <w:lvlJc w:val="left"/>
      <w:pPr>
        <w:ind w:left="2902" w:hanging="720"/>
        <w:jc w:val="left"/>
      </w:pPr>
      <w:rPr>
        <w:rFonts w:ascii="Times New Roman" w:eastAsia="Times New Roman" w:hAnsi="Times New Roman" w:cs="Times New Roman" w:hint="default"/>
        <w:i/>
        <w:iCs/>
        <w:w w:val="100"/>
        <w:sz w:val="24"/>
        <w:szCs w:val="24"/>
        <w:lang w:val="bg-BG" w:eastAsia="en-US" w:bidi="ar-SA"/>
      </w:rPr>
    </w:lvl>
    <w:lvl w:ilvl="3">
      <w:numFmt w:val="bullet"/>
      <w:lvlText w:val="•"/>
      <w:lvlJc w:val="left"/>
      <w:pPr>
        <w:ind w:left="3910" w:hanging="720"/>
      </w:pPr>
      <w:rPr>
        <w:rFonts w:hint="default"/>
        <w:lang w:val="bg-BG" w:eastAsia="en-US" w:bidi="ar-SA"/>
      </w:rPr>
    </w:lvl>
    <w:lvl w:ilvl="4">
      <w:numFmt w:val="bullet"/>
      <w:lvlText w:val="•"/>
      <w:lvlJc w:val="left"/>
      <w:pPr>
        <w:ind w:left="4921" w:hanging="720"/>
      </w:pPr>
      <w:rPr>
        <w:rFonts w:hint="default"/>
        <w:lang w:val="bg-BG" w:eastAsia="en-US" w:bidi="ar-SA"/>
      </w:rPr>
    </w:lvl>
    <w:lvl w:ilvl="5">
      <w:numFmt w:val="bullet"/>
      <w:lvlText w:val="•"/>
      <w:lvlJc w:val="left"/>
      <w:pPr>
        <w:ind w:left="5932" w:hanging="720"/>
      </w:pPr>
      <w:rPr>
        <w:rFonts w:hint="default"/>
        <w:lang w:val="bg-BG" w:eastAsia="en-US" w:bidi="ar-SA"/>
      </w:rPr>
    </w:lvl>
    <w:lvl w:ilvl="6">
      <w:numFmt w:val="bullet"/>
      <w:lvlText w:val="•"/>
      <w:lvlJc w:val="left"/>
      <w:pPr>
        <w:ind w:left="6943" w:hanging="720"/>
      </w:pPr>
      <w:rPr>
        <w:rFonts w:hint="default"/>
        <w:lang w:val="bg-BG" w:eastAsia="en-US" w:bidi="ar-SA"/>
      </w:rPr>
    </w:lvl>
    <w:lvl w:ilvl="7">
      <w:numFmt w:val="bullet"/>
      <w:lvlText w:val="•"/>
      <w:lvlJc w:val="left"/>
      <w:pPr>
        <w:ind w:left="7954" w:hanging="720"/>
      </w:pPr>
      <w:rPr>
        <w:rFonts w:hint="default"/>
        <w:lang w:val="bg-BG" w:eastAsia="en-US" w:bidi="ar-SA"/>
      </w:rPr>
    </w:lvl>
    <w:lvl w:ilvl="8">
      <w:numFmt w:val="bullet"/>
      <w:lvlText w:val="•"/>
      <w:lvlJc w:val="left"/>
      <w:pPr>
        <w:ind w:left="8964" w:hanging="720"/>
      </w:pPr>
      <w:rPr>
        <w:rFonts w:hint="default"/>
        <w:lang w:val="bg-BG" w:eastAsia="en-US" w:bidi="ar-SA"/>
      </w:rPr>
    </w:lvl>
  </w:abstractNum>
  <w:abstractNum w:abstractNumId="42" w15:restartNumberingAfterBreak="0">
    <w:nsid w:val="7C033FBF"/>
    <w:multiLevelType w:val="hybridMultilevel"/>
    <w:tmpl w:val="C9BA9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522CF8"/>
    <w:multiLevelType w:val="multilevel"/>
    <w:tmpl w:val="A1FA9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CA354F7"/>
    <w:multiLevelType w:val="multilevel"/>
    <w:tmpl w:val="6404653C"/>
    <w:lvl w:ilvl="0">
      <w:start w:val="1"/>
      <w:numFmt w:val="decimal"/>
      <w:lvlText w:val="%1."/>
      <w:lvlJc w:val="left"/>
      <w:pPr>
        <w:ind w:left="1462" w:hanging="483"/>
        <w:jc w:val="left"/>
      </w:pPr>
      <w:rPr>
        <w:rFonts w:ascii="Times New Roman" w:eastAsia="Times New Roman" w:hAnsi="Times New Roman" w:cs="Times New Roman" w:hint="default"/>
        <w:b/>
        <w:bCs/>
        <w:spacing w:val="0"/>
        <w:w w:val="100"/>
        <w:sz w:val="28"/>
        <w:szCs w:val="28"/>
        <w:lang w:val="bg-BG" w:eastAsia="en-US" w:bidi="ar-SA"/>
      </w:rPr>
    </w:lvl>
    <w:lvl w:ilvl="1">
      <w:start w:val="1"/>
      <w:numFmt w:val="decimal"/>
      <w:lvlText w:val="%1.%2."/>
      <w:lvlJc w:val="left"/>
      <w:pPr>
        <w:ind w:left="2182" w:hanging="720"/>
        <w:jc w:val="left"/>
      </w:pPr>
      <w:rPr>
        <w:rFonts w:ascii="Times New Roman" w:eastAsia="Times New Roman" w:hAnsi="Times New Roman" w:cs="Times New Roman" w:hint="default"/>
        <w:b/>
        <w:bCs/>
        <w:w w:val="100"/>
        <w:sz w:val="24"/>
        <w:szCs w:val="24"/>
        <w:lang w:val="bg-BG" w:eastAsia="en-US" w:bidi="ar-SA"/>
      </w:rPr>
    </w:lvl>
    <w:lvl w:ilvl="2">
      <w:start w:val="1"/>
      <w:numFmt w:val="decimal"/>
      <w:lvlText w:val="%1.%2.%3."/>
      <w:lvlJc w:val="left"/>
      <w:pPr>
        <w:ind w:left="2902" w:hanging="720"/>
        <w:jc w:val="left"/>
      </w:pPr>
      <w:rPr>
        <w:rFonts w:ascii="Times New Roman" w:eastAsia="Times New Roman" w:hAnsi="Times New Roman" w:cs="Times New Roman" w:hint="default"/>
        <w:i/>
        <w:iCs/>
        <w:w w:val="100"/>
        <w:sz w:val="24"/>
        <w:szCs w:val="24"/>
        <w:lang w:val="bg-BG" w:eastAsia="en-US" w:bidi="ar-SA"/>
      </w:rPr>
    </w:lvl>
    <w:lvl w:ilvl="3">
      <w:numFmt w:val="bullet"/>
      <w:lvlText w:val="•"/>
      <w:lvlJc w:val="left"/>
      <w:pPr>
        <w:ind w:left="3910" w:hanging="720"/>
      </w:pPr>
      <w:rPr>
        <w:rFonts w:hint="default"/>
        <w:lang w:val="bg-BG" w:eastAsia="en-US" w:bidi="ar-SA"/>
      </w:rPr>
    </w:lvl>
    <w:lvl w:ilvl="4">
      <w:numFmt w:val="bullet"/>
      <w:lvlText w:val="•"/>
      <w:lvlJc w:val="left"/>
      <w:pPr>
        <w:ind w:left="4921" w:hanging="720"/>
      </w:pPr>
      <w:rPr>
        <w:rFonts w:hint="default"/>
        <w:lang w:val="bg-BG" w:eastAsia="en-US" w:bidi="ar-SA"/>
      </w:rPr>
    </w:lvl>
    <w:lvl w:ilvl="5">
      <w:numFmt w:val="bullet"/>
      <w:lvlText w:val="•"/>
      <w:lvlJc w:val="left"/>
      <w:pPr>
        <w:ind w:left="5932" w:hanging="720"/>
      </w:pPr>
      <w:rPr>
        <w:rFonts w:hint="default"/>
        <w:lang w:val="bg-BG" w:eastAsia="en-US" w:bidi="ar-SA"/>
      </w:rPr>
    </w:lvl>
    <w:lvl w:ilvl="6">
      <w:numFmt w:val="bullet"/>
      <w:lvlText w:val="•"/>
      <w:lvlJc w:val="left"/>
      <w:pPr>
        <w:ind w:left="6943" w:hanging="720"/>
      </w:pPr>
      <w:rPr>
        <w:rFonts w:hint="default"/>
        <w:lang w:val="bg-BG" w:eastAsia="en-US" w:bidi="ar-SA"/>
      </w:rPr>
    </w:lvl>
    <w:lvl w:ilvl="7">
      <w:numFmt w:val="bullet"/>
      <w:lvlText w:val="•"/>
      <w:lvlJc w:val="left"/>
      <w:pPr>
        <w:ind w:left="7954" w:hanging="720"/>
      </w:pPr>
      <w:rPr>
        <w:rFonts w:hint="default"/>
        <w:lang w:val="bg-BG" w:eastAsia="en-US" w:bidi="ar-SA"/>
      </w:rPr>
    </w:lvl>
    <w:lvl w:ilvl="8">
      <w:numFmt w:val="bullet"/>
      <w:lvlText w:val="•"/>
      <w:lvlJc w:val="left"/>
      <w:pPr>
        <w:ind w:left="8964" w:hanging="720"/>
      </w:pPr>
      <w:rPr>
        <w:rFonts w:hint="default"/>
        <w:lang w:val="bg-BG" w:eastAsia="en-US" w:bidi="ar-SA"/>
      </w:rPr>
    </w:lvl>
  </w:abstractNum>
  <w:abstractNum w:abstractNumId="45" w15:restartNumberingAfterBreak="0">
    <w:nsid w:val="7F10623A"/>
    <w:multiLevelType w:val="multilevel"/>
    <w:tmpl w:val="403A7C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5"/>
  </w:num>
  <w:num w:numId="2">
    <w:abstractNumId w:val="15"/>
  </w:num>
  <w:num w:numId="3">
    <w:abstractNumId w:val="12"/>
  </w:num>
  <w:num w:numId="4">
    <w:abstractNumId w:val="3"/>
  </w:num>
  <w:num w:numId="5">
    <w:abstractNumId w:val="43"/>
  </w:num>
  <w:num w:numId="6">
    <w:abstractNumId w:val="27"/>
  </w:num>
  <w:num w:numId="7">
    <w:abstractNumId w:val="8"/>
  </w:num>
  <w:num w:numId="8">
    <w:abstractNumId w:val="10"/>
  </w:num>
  <w:num w:numId="9">
    <w:abstractNumId w:val="30"/>
  </w:num>
  <w:num w:numId="10">
    <w:abstractNumId w:val="18"/>
    <w:lvlOverride w:ilvl="0">
      <w:startOverride w:val="1"/>
    </w:lvlOverride>
    <w:lvlOverride w:ilvl="1"/>
    <w:lvlOverride w:ilvl="2"/>
    <w:lvlOverride w:ilvl="3"/>
    <w:lvlOverride w:ilvl="4"/>
    <w:lvlOverride w:ilvl="5"/>
    <w:lvlOverride w:ilvl="6"/>
    <w:lvlOverride w:ilvl="7"/>
    <w:lvlOverride w:ilvl="8"/>
  </w:num>
  <w:num w:numId="11">
    <w:abstractNumId w:val="42"/>
  </w:num>
  <w:num w:numId="12">
    <w:abstractNumId w:val="20"/>
  </w:num>
  <w:num w:numId="13">
    <w:abstractNumId w:val="13"/>
  </w:num>
  <w:num w:numId="14">
    <w:abstractNumId w:val="11"/>
  </w:num>
  <w:num w:numId="15">
    <w:abstractNumId w:val="40"/>
  </w:num>
  <w:num w:numId="16">
    <w:abstractNumId w:val="26"/>
  </w:num>
  <w:num w:numId="17">
    <w:abstractNumId w:val="17"/>
  </w:num>
  <w:num w:numId="18">
    <w:abstractNumId w:val="6"/>
  </w:num>
  <w:num w:numId="19">
    <w:abstractNumId w:val="5"/>
  </w:num>
  <w:num w:numId="20">
    <w:abstractNumId w:val="21"/>
  </w:num>
  <w:num w:numId="21">
    <w:abstractNumId w:val="14"/>
  </w:num>
  <w:num w:numId="22">
    <w:abstractNumId w:val="31"/>
  </w:num>
  <w:num w:numId="23">
    <w:abstractNumId w:val="35"/>
  </w:num>
  <w:num w:numId="24">
    <w:abstractNumId w:val="28"/>
  </w:num>
  <w:num w:numId="25">
    <w:abstractNumId w:val="32"/>
  </w:num>
  <w:num w:numId="26">
    <w:abstractNumId w:val="36"/>
  </w:num>
  <w:num w:numId="27">
    <w:abstractNumId w:val="19"/>
  </w:num>
  <w:num w:numId="28">
    <w:abstractNumId w:val="45"/>
  </w:num>
  <w:num w:numId="29">
    <w:abstractNumId w:val="4"/>
  </w:num>
  <w:num w:numId="30">
    <w:abstractNumId w:val="37"/>
  </w:num>
  <w:num w:numId="31">
    <w:abstractNumId w:val="0"/>
  </w:num>
  <w:num w:numId="32">
    <w:abstractNumId w:val="24"/>
  </w:num>
  <w:num w:numId="33">
    <w:abstractNumId w:val="33"/>
  </w:num>
  <w:num w:numId="34">
    <w:abstractNumId w:val="41"/>
  </w:num>
  <w:num w:numId="35">
    <w:abstractNumId w:val="44"/>
  </w:num>
  <w:num w:numId="36">
    <w:abstractNumId w:val="1"/>
  </w:num>
  <w:num w:numId="37">
    <w:abstractNumId w:val="39"/>
  </w:num>
  <w:num w:numId="38">
    <w:abstractNumId w:val="23"/>
  </w:num>
  <w:num w:numId="39">
    <w:abstractNumId w:val="2"/>
  </w:num>
  <w:num w:numId="40">
    <w:abstractNumId w:val="16"/>
  </w:num>
  <w:num w:numId="41">
    <w:abstractNumId w:val="38"/>
  </w:num>
  <w:num w:numId="42">
    <w:abstractNumId w:val="7"/>
  </w:num>
  <w:num w:numId="43">
    <w:abstractNumId w:val="29"/>
  </w:num>
  <w:num w:numId="44">
    <w:abstractNumId w:val="34"/>
  </w:num>
  <w:num w:numId="45">
    <w:abstractNumId w:val="9"/>
  </w:num>
  <w:num w:numId="46">
    <w:abstractNumId w:val="22"/>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4F78"/>
    <w:rsid w:val="00014DF6"/>
    <w:rsid w:val="0002601C"/>
    <w:rsid w:val="000314E4"/>
    <w:rsid w:val="00037BA0"/>
    <w:rsid w:val="00083D66"/>
    <w:rsid w:val="00091D06"/>
    <w:rsid w:val="000950E2"/>
    <w:rsid w:val="000A0734"/>
    <w:rsid w:val="000A1753"/>
    <w:rsid w:val="000A3BAE"/>
    <w:rsid w:val="000B6410"/>
    <w:rsid w:val="00101579"/>
    <w:rsid w:val="0010351D"/>
    <w:rsid w:val="001577E0"/>
    <w:rsid w:val="00164378"/>
    <w:rsid w:val="001A3F27"/>
    <w:rsid w:val="001C53DF"/>
    <w:rsid w:val="001D69E7"/>
    <w:rsid w:val="001E153A"/>
    <w:rsid w:val="001F004D"/>
    <w:rsid w:val="001F4AC3"/>
    <w:rsid w:val="001F6CEA"/>
    <w:rsid w:val="00202F92"/>
    <w:rsid w:val="00204B93"/>
    <w:rsid w:val="002302B2"/>
    <w:rsid w:val="00261BA9"/>
    <w:rsid w:val="00263871"/>
    <w:rsid w:val="00274BCA"/>
    <w:rsid w:val="002817B2"/>
    <w:rsid w:val="002A4527"/>
    <w:rsid w:val="002C16A4"/>
    <w:rsid w:val="002C4A89"/>
    <w:rsid w:val="002D0A91"/>
    <w:rsid w:val="002D2BB7"/>
    <w:rsid w:val="002D7C19"/>
    <w:rsid w:val="002F3F0C"/>
    <w:rsid w:val="002F57E4"/>
    <w:rsid w:val="00323E68"/>
    <w:rsid w:val="003263CD"/>
    <w:rsid w:val="003327A6"/>
    <w:rsid w:val="003966BB"/>
    <w:rsid w:val="003B1BE0"/>
    <w:rsid w:val="003C15C5"/>
    <w:rsid w:val="003E5D70"/>
    <w:rsid w:val="003F2A00"/>
    <w:rsid w:val="00433956"/>
    <w:rsid w:val="004575FB"/>
    <w:rsid w:val="00490903"/>
    <w:rsid w:val="004A5962"/>
    <w:rsid w:val="004B41E3"/>
    <w:rsid w:val="004D2AC4"/>
    <w:rsid w:val="004E3A99"/>
    <w:rsid w:val="004F0F2A"/>
    <w:rsid w:val="004F6C38"/>
    <w:rsid w:val="00501B5C"/>
    <w:rsid w:val="005108A9"/>
    <w:rsid w:val="005749A9"/>
    <w:rsid w:val="0057591C"/>
    <w:rsid w:val="00575ABF"/>
    <w:rsid w:val="005818A5"/>
    <w:rsid w:val="00593DB7"/>
    <w:rsid w:val="005B71B3"/>
    <w:rsid w:val="005C251C"/>
    <w:rsid w:val="005C3E86"/>
    <w:rsid w:val="005E057F"/>
    <w:rsid w:val="005F6A29"/>
    <w:rsid w:val="00603B70"/>
    <w:rsid w:val="006225B5"/>
    <w:rsid w:val="00642434"/>
    <w:rsid w:val="00647310"/>
    <w:rsid w:val="00650739"/>
    <w:rsid w:val="0065779A"/>
    <w:rsid w:val="0067300D"/>
    <w:rsid w:val="006D7FED"/>
    <w:rsid w:val="006E638D"/>
    <w:rsid w:val="00706328"/>
    <w:rsid w:val="00712AA8"/>
    <w:rsid w:val="0073007C"/>
    <w:rsid w:val="00754BCE"/>
    <w:rsid w:val="007654B0"/>
    <w:rsid w:val="007663AD"/>
    <w:rsid w:val="00774D99"/>
    <w:rsid w:val="00792EB0"/>
    <w:rsid w:val="00796786"/>
    <w:rsid w:val="007B03DF"/>
    <w:rsid w:val="007B207D"/>
    <w:rsid w:val="00811CB5"/>
    <w:rsid w:val="008138CC"/>
    <w:rsid w:val="00820F61"/>
    <w:rsid w:val="0082481E"/>
    <w:rsid w:val="00832317"/>
    <w:rsid w:val="00844700"/>
    <w:rsid w:val="008609BD"/>
    <w:rsid w:val="00863834"/>
    <w:rsid w:val="00873096"/>
    <w:rsid w:val="008A165F"/>
    <w:rsid w:val="008D39EF"/>
    <w:rsid w:val="00903EEE"/>
    <w:rsid w:val="00922D1D"/>
    <w:rsid w:val="00926139"/>
    <w:rsid w:val="0093030F"/>
    <w:rsid w:val="009402A1"/>
    <w:rsid w:val="009407B8"/>
    <w:rsid w:val="009520F0"/>
    <w:rsid w:val="00952A5D"/>
    <w:rsid w:val="00954543"/>
    <w:rsid w:val="00962E30"/>
    <w:rsid w:val="00984093"/>
    <w:rsid w:val="009853A2"/>
    <w:rsid w:val="00994F62"/>
    <w:rsid w:val="009A3356"/>
    <w:rsid w:val="00A21BD3"/>
    <w:rsid w:val="00A338C7"/>
    <w:rsid w:val="00AA4894"/>
    <w:rsid w:val="00AB31C4"/>
    <w:rsid w:val="00AF2D5A"/>
    <w:rsid w:val="00AF59E6"/>
    <w:rsid w:val="00B71432"/>
    <w:rsid w:val="00B75F88"/>
    <w:rsid w:val="00B86385"/>
    <w:rsid w:val="00B945CD"/>
    <w:rsid w:val="00BB263E"/>
    <w:rsid w:val="00BC26E7"/>
    <w:rsid w:val="00BC6696"/>
    <w:rsid w:val="00BD246F"/>
    <w:rsid w:val="00BF1942"/>
    <w:rsid w:val="00BF607E"/>
    <w:rsid w:val="00BF772C"/>
    <w:rsid w:val="00C04ED4"/>
    <w:rsid w:val="00C11F2B"/>
    <w:rsid w:val="00C15B47"/>
    <w:rsid w:val="00C372A8"/>
    <w:rsid w:val="00C677A5"/>
    <w:rsid w:val="00C70D96"/>
    <w:rsid w:val="00C75520"/>
    <w:rsid w:val="00CB4F78"/>
    <w:rsid w:val="00CE38C4"/>
    <w:rsid w:val="00CF0BCA"/>
    <w:rsid w:val="00D1701E"/>
    <w:rsid w:val="00D92CE2"/>
    <w:rsid w:val="00D9741F"/>
    <w:rsid w:val="00DA1AAA"/>
    <w:rsid w:val="00DB7607"/>
    <w:rsid w:val="00DC5CFD"/>
    <w:rsid w:val="00DD02E8"/>
    <w:rsid w:val="00DD68F1"/>
    <w:rsid w:val="00DE1B1C"/>
    <w:rsid w:val="00DE1D2E"/>
    <w:rsid w:val="00DF5FA1"/>
    <w:rsid w:val="00E05AEA"/>
    <w:rsid w:val="00E67273"/>
    <w:rsid w:val="00E80523"/>
    <w:rsid w:val="00E83FF4"/>
    <w:rsid w:val="00EA780C"/>
    <w:rsid w:val="00EB3E14"/>
    <w:rsid w:val="00EC4967"/>
    <w:rsid w:val="00EC58AC"/>
    <w:rsid w:val="00EC6A3B"/>
    <w:rsid w:val="00ED1556"/>
    <w:rsid w:val="00ED227B"/>
    <w:rsid w:val="00EE1AAE"/>
    <w:rsid w:val="00EF0457"/>
    <w:rsid w:val="00EF0ECF"/>
    <w:rsid w:val="00EF271D"/>
    <w:rsid w:val="00F07EBB"/>
    <w:rsid w:val="00F10345"/>
    <w:rsid w:val="00F12252"/>
    <w:rsid w:val="00F503D1"/>
    <w:rsid w:val="00FD1C67"/>
    <w:rsid w:val="00FD4F72"/>
    <w:rsid w:val="00FD5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DF83AC"/>
  <w15:docId w15:val="{1E244068-F845-4653-B7AA-4EB714F767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D1556"/>
    <w:pPr>
      <w:keepNext/>
      <w:keepLines/>
      <w:spacing w:before="240" w:after="0"/>
      <w:outlineLvl w:val="0"/>
    </w:pPr>
    <w:rPr>
      <w:rFonts w:ascii="Times New Roman" w:eastAsia="Times New Roman" w:hAnsi="Times New Roman" w:cs="Times New Roman"/>
      <w:color w:val="2E74B5" w:themeColor="accent1" w:themeShade="BF"/>
      <w:sz w:val="28"/>
      <w:szCs w:val="28"/>
      <w:lang w:val="bg-BG"/>
    </w:rPr>
  </w:style>
  <w:style w:type="paragraph" w:styleId="Heading2">
    <w:name w:val="heading 2"/>
    <w:basedOn w:val="Normal"/>
    <w:next w:val="Normal"/>
    <w:link w:val="Heading2Char"/>
    <w:uiPriority w:val="9"/>
    <w:unhideWhenUsed/>
    <w:qFormat/>
    <w:rsid w:val="00ED1556"/>
    <w:pPr>
      <w:keepNext/>
      <w:keepLines/>
      <w:spacing w:before="40" w:after="0"/>
      <w:outlineLvl w:val="1"/>
    </w:pPr>
    <w:rPr>
      <w:rFonts w:ascii="Times New Roman" w:eastAsiaTheme="majorEastAsia" w:hAnsi="Times New Roman" w:cs="Times New Roman"/>
      <w:b/>
      <w:color w:val="2E74B5" w:themeColor="accent1" w:themeShade="BF"/>
      <w:sz w:val="24"/>
      <w:szCs w:val="24"/>
    </w:rPr>
  </w:style>
  <w:style w:type="paragraph" w:styleId="Heading3">
    <w:name w:val="heading 3"/>
    <w:basedOn w:val="Normal"/>
    <w:link w:val="Heading3Char"/>
    <w:uiPriority w:val="9"/>
    <w:unhideWhenUsed/>
    <w:qFormat/>
    <w:rsid w:val="000950E2"/>
    <w:pPr>
      <w:widowControl w:val="0"/>
      <w:autoSpaceDE w:val="0"/>
      <w:autoSpaceDN w:val="0"/>
      <w:spacing w:before="126" w:after="0" w:line="240" w:lineRule="auto"/>
      <w:ind w:left="951"/>
      <w:jc w:val="both"/>
      <w:outlineLvl w:val="2"/>
    </w:pPr>
    <w:rPr>
      <w:rFonts w:ascii="Times New Roman" w:eastAsia="Times New Roman" w:hAnsi="Times New Roman" w:cs="Times New Roman"/>
      <w:b/>
      <w:bCs/>
      <w:i/>
      <w:iCs/>
      <w:sz w:val="24"/>
      <w:szCs w:val="24"/>
      <w:lang w:val="bg-BG"/>
    </w:rPr>
  </w:style>
  <w:style w:type="paragraph" w:styleId="Heading4">
    <w:name w:val="heading 4"/>
    <w:basedOn w:val="Normal"/>
    <w:next w:val="Normal"/>
    <w:link w:val="Heading4Char"/>
    <w:uiPriority w:val="9"/>
    <w:unhideWhenUsed/>
    <w:qFormat/>
    <w:rsid w:val="00EB3E14"/>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0950E2"/>
    <w:pPr>
      <w:keepNext/>
      <w:keepLines/>
      <w:spacing w:before="40" w:after="0"/>
      <w:outlineLvl w:val="4"/>
    </w:pPr>
    <w:rPr>
      <w:rFonts w:asciiTheme="majorHAnsi" w:eastAsiaTheme="majorEastAsia" w:hAnsiTheme="majorHAnsi" w:cstheme="majorBidi"/>
      <w:color w:val="2E74B5" w:themeColor="accent1" w:themeShade="BF"/>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1556"/>
    <w:rPr>
      <w:rFonts w:ascii="Times New Roman" w:eastAsia="Times New Roman" w:hAnsi="Times New Roman" w:cs="Times New Roman"/>
      <w:color w:val="2E74B5" w:themeColor="accent1" w:themeShade="BF"/>
      <w:sz w:val="28"/>
      <w:szCs w:val="28"/>
      <w:lang w:val="bg-BG"/>
    </w:rPr>
  </w:style>
  <w:style w:type="character" w:customStyle="1" w:styleId="Heading2Char">
    <w:name w:val="Heading 2 Char"/>
    <w:basedOn w:val="DefaultParagraphFont"/>
    <w:link w:val="Heading2"/>
    <w:uiPriority w:val="9"/>
    <w:rsid w:val="00ED1556"/>
    <w:rPr>
      <w:rFonts w:ascii="Times New Roman" w:eastAsiaTheme="majorEastAsia" w:hAnsi="Times New Roman" w:cs="Times New Roman"/>
      <w:b/>
      <w:color w:val="2E74B5" w:themeColor="accent1" w:themeShade="BF"/>
      <w:sz w:val="24"/>
      <w:szCs w:val="24"/>
    </w:rPr>
  </w:style>
  <w:style w:type="character" w:customStyle="1" w:styleId="Heading3Char">
    <w:name w:val="Heading 3 Char"/>
    <w:basedOn w:val="DefaultParagraphFont"/>
    <w:link w:val="Heading3"/>
    <w:uiPriority w:val="9"/>
    <w:rsid w:val="000950E2"/>
    <w:rPr>
      <w:rFonts w:ascii="Times New Roman" w:eastAsia="Times New Roman" w:hAnsi="Times New Roman" w:cs="Times New Roman"/>
      <w:b/>
      <w:bCs/>
      <w:i/>
      <w:iCs/>
      <w:sz w:val="24"/>
      <w:szCs w:val="24"/>
      <w:lang w:val="bg-BG"/>
    </w:rPr>
  </w:style>
  <w:style w:type="character" w:customStyle="1" w:styleId="Heading4Char">
    <w:name w:val="Heading 4 Char"/>
    <w:basedOn w:val="DefaultParagraphFont"/>
    <w:link w:val="Heading4"/>
    <w:uiPriority w:val="9"/>
    <w:rsid w:val="00EB3E14"/>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0950E2"/>
    <w:rPr>
      <w:rFonts w:asciiTheme="majorHAnsi" w:eastAsiaTheme="majorEastAsia" w:hAnsiTheme="majorHAnsi" w:cstheme="majorBidi"/>
      <w:color w:val="2E74B5" w:themeColor="accent1" w:themeShade="BF"/>
      <w:lang w:val="bg-BG"/>
    </w:rPr>
  </w:style>
  <w:style w:type="character" w:customStyle="1" w:styleId="viiyi">
    <w:name w:val="viiyi"/>
    <w:basedOn w:val="DefaultParagraphFont"/>
    <w:rsid w:val="00CB4F78"/>
  </w:style>
  <w:style w:type="paragraph" w:customStyle="1" w:styleId="soerkeyblue">
    <w:name w:val="soerkeyblue"/>
    <w:basedOn w:val="Normal"/>
    <w:rsid w:val="00EB3E14"/>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aliases w:val="ПАРАГРАФ,Colorful List - Accent 11,List1,Paragraphe de liste 2,Reference list,Bullet List Paragraph,List Paragraph1,Numbered Para 1,Dot pt,No Spacing1,List Paragraph Char Char Char,Indicator Text,Bullet 1,Bullet Points,MAIN CONTENT,Lis"/>
    <w:basedOn w:val="Normal"/>
    <w:link w:val="ListParagraphChar"/>
    <w:uiPriority w:val="1"/>
    <w:qFormat/>
    <w:rsid w:val="00EB3E14"/>
    <w:pPr>
      <w:ind w:left="720"/>
      <w:contextualSpacing/>
    </w:pPr>
    <w:rPr>
      <w:lang w:val="bg-BG"/>
    </w:rPr>
  </w:style>
  <w:style w:type="character" w:customStyle="1" w:styleId="ListParagraphChar">
    <w:name w:val="List Paragraph Char"/>
    <w:aliases w:val="ПАРАГРАФ Char,Colorful List - Accent 11 Char,List1 Char,Paragraphe de liste 2 Char,Reference list Char,Bullet List Paragraph Char,List Paragraph1 Char,Numbered Para 1 Char,Dot pt Char,No Spacing1 Char,Indicator Text Char,Lis Char"/>
    <w:link w:val="ListParagraph"/>
    <w:qFormat/>
    <w:rsid w:val="00EB3E14"/>
    <w:rPr>
      <w:lang w:val="bg-BG"/>
    </w:rPr>
  </w:style>
  <w:style w:type="paragraph" w:styleId="Caption">
    <w:name w:val="caption"/>
    <w:aliases w:val="Tasks,Beschriftung Char2,Beschriftung Char1 Char1,Beschriftung Char Char Char1,Beschriftung Char1 Char Char,Beschriftung Char Char Char Char,Beschriftung Char Char1 Char,Beschriftung Char Char2,Beschriftung Char1 Cha...,Legend"/>
    <w:basedOn w:val="Normal"/>
    <w:next w:val="Normal"/>
    <w:link w:val="CaptionChar"/>
    <w:unhideWhenUsed/>
    <w:qFormat/>
    <w:rsid w:val="00EB3E14"/>
    <w:pPr>
      <w:spacing w:after="200" w:line="240" w:lineRule="auto"/>
    </w:pPr>
    <w:rPr>
      <w:i/>
      <w:iCs/>
      <w:color w:val="44546A" w:themeColor="text2"/>
      <w:sz w:val="18"/>
      <w:szCs w:val="18"/>
      <w:lang w:val="bg-BG"/>
    </w:rPr>
  </w:style>
  <w:style w:type="character" w:styleId="Hyperlink">
    <w:name w:val="Hyperlink"/>
    <w:basedOn w:val="DefaultParagraphFont"/>
    <w:uiPriority w:val="99"/>
    <w:unhideWhenUsed/>
    <w:rsid w:val="000950E2"/>
    <w:rPr>
      <w:color w:val="0563C1" w:themeColor="hyperlink"/>
      <w:u w:val="single"/>
    </w:rPr>
  </w:style>
  <w:style w:type="paragraph" w:styleId="NormalWeb">
    <w:name w:val="Normal (Web)"/>
    <w:basedOn w:val="Normal"/>
    <w:uiPriority w:val="99"/>
    <w:rsid w:val="000950E2"/>
    <w:pPr>
      <w:spacing w:before="100" w:beforeAutospacing="1" w:after="100" w:afterAutospacing="1" w:line="240" w:lineRule="auto"/>
    </w:pPr>
    <w:rPr>
      <w:rFonts w:ascii="Times New Roman" w:eastAsia="Calibri" w:hAnsi="Times New Roman" w:cs="Times New Roman"/>
      <w:sz w:val="24"/>
      <w:szCs w:val="24"/>
      <w:lang w:val="bg-BG" w:eastAsia="bg-BG"/>
    </w:rPr>
  </w:style>
  <w:style w:type="paragraph" w:styleId="FootnoteText">
    <w:name w:val="footnote text"/>
    <w:aliases w:val="Podrozdział,stile 1,Footnote,Footnote1,Footnote2,Footnote3,Footnote4,Footnote5,Footnote6,Footnote7,Footnote8,Footnote9,Footnote10,Footnote11,Footnote21,Footnote31,Footnote41,Footnote51,Footnote61,Footnote71,Footnote81,Footnote91,f,Char,fn"/>
    <w:basedOn w:val="Normal"/>
    <w:link w:val="FootnoteTextChar"/>
    <w:unhideWhenUsed/>
    <w:qFormat/>
    <w:rsid w:val="000950E2"/>
    <w:pPr>
      <w:spacing w:after="0" w:line="240" w:lineRule="auto"/>
      <w:jc w:val="both"/>
    </w:pPr>
    <w:rPr>
      <w:rFonts w:asciiTheme="majorHAnsi" w:eastAsia="Times New Roman" w:hAnsiTheme="majorHAnsi" w:cs="Times New Roman"/>
      <w:color w:val="0070C0"/>
      <w:sz w:val="20"/>
      <w:szCs w:val="20"/>
      <w:lang w:val="bg-BG"/>
    </w:rPr>
  </w:style>
  <w:style w:type="character" w:customStyle="1" w:styleId="FootnoteTextChar">
    <w:name w:val="Footnote Text Char"/>
    <w:aliases w:val="Podrozdział Char,stile 1 Char,Footnote Char,Footnote1 Char,Footnote2 Char,Footnote3 Char,Footnote4 Char,Footnote5 Char,Footnote6 Char,Footnote7 Char,Footnote8 Char,Footnote9 Char,Footnote10 Char,Footnote11 Char,Footnote21 Char,f Char"/>
    <w:basedOn w:val="DefaultParagraphFont"/>
    <w:link w:val="FootnoteText"/>
    <w:qFormat/>
    <w:rsid w:val="000950E2"/>
    <w:rPr>
      <w:rFonts w:asciiTheme="majorHAnsi" w:eastAsia="Times New Roman" w:hAnsiTheme="majorHAnsi" w:cs="Times New Roman"/>
      <w:color w:val="0070C0"/>
      <w:sz w:val="20"/>
      <w:szCs w:val="20"/>
      <w:lang w:val="bg-BG"/>
    </w:rPr>
  </w:style>
  <w:style w:type="character" w:styleId="FootnoteReference">
    <w:name w:val="footnote reference"/>
    <w:aliases w:val="Footnote symbol,Footnote Reference Superscript,SUPERS,BVI fnr,Appel note de bas de p,Nota,(NECG) Footnote Reference,Voetnootverwijzing,Lábjegyzet-hivatkozás,L?bjegyzet-hivatkoz?s,Char1 Char Char Char Char,ftref, BVI fnr,note TESI,Ref"/>
    <w:basedOn w:val="DefaultParagraphFont"/>
    <w:link w:val="FootnotesymbolCarZchn"/>
    <w:uiPriority w:val="99"/>
    <w:unhideWhenUsed/>
    <w:qFormat/>
    <w:rsid w:val="000950E2"/>
    <w:rPr>
      <w:vertAlign w:val="superscript"/>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
    <w:link w:val="FootnoteReference"/>
    <w:uiPriority w:val="99"/>
    <w:qFormat/>
    <w:rsid w:val="000950E2"/>
    <w:pPr>
      <w:spacing w:line="240" w:lineRule="exact"/>
      <w:jc w:val="both"/>
    </w:pPr>
    <w:rPr>
      <w:vertAlign w:val="superscript"/>
    </w:rPr>
  </w:style>
  <w:style w:type="paragraph" w:styleId="BodyText">
    <w:name w:val="Body Text"/>
    <w:basedOn w:val="Normal"/>
    <w:link w:val="BodyTextChar"/>
    <w:qFormat/>
    <w:rsid w:val="000950E2"/>
    <w:pPr>
      <w:widowControl w:val="0"/>
      <w:autoSpaceDE w:val="0"/>
      <w:autoSpaceDN w:val="0"/>
      <w:spacing w:after="0" w:line="240" w:lineRule="auto"/>
    </w:pPr>
    <w:rPr>
      <w:rFonts w:ascii="Trebuchet MS" w:eastAsia="Trebuchet MS" w:hAnsi="Trebuchet MS" w:cs="Trebuchet MS"/>
    </w:rPr>
  </w:style>
  <w:style w:type="character" w:customStyle="1" w:styleId="BodyTextChar">
    <w:name w:val="Body Text Char"/>
    <w:basedOn w:val="DefaultParagraphFont"/>
    <w:link w:val="BodyText"/>
    <w:uiPriority w:val="1"/>
    <w:rsid w:val="000950E2"/>
    <w:rPr>
      <w:rFonts w:ascii="Trebuchet MS" w:eastAsia="Trebuchet MS" w:hAnsi="Trebuchet MS" w:cs="Trebuchet MS"/>
    </w:rPr>
  </w:style>
  <w:style w:type="paragraph" w:styleId="TOC1">
    <w:name w:val="toc 1"/>
    <w:basedOn w:val="Normal"/>
    <w:uiPriority w:val="39"/>
    <w:qFormat/>
    <w:rsid w:val="000950E2"/>
    <w:pPr>
      <w:widowControl w:val="0"/>
      <w:autoSpaceDE w:val="0"/>
      <w:autoSpaceDN w:val="0"/>
      <w:spacing w:before="280" w:after="0" w:line="240" w:lineRule="auto"/>
      <w:ind w:left="578"/>
    </w:pPr>
    <w:rPr>
      <w:rFonts w:ascii="Trebuchet MS" w:eastAsia="Trebuchet MS" w:hAnsi="Trebuchet MS" w:cs="Trebuchet MS"/>
      <w:b/>
      <w:bCs/>
    </w:rPr>
  </w:style>
  <w:style w:type="paragraph" w:styleId="TOC2">
    <w:name w:val="toc 2"/>
    <w:basedOn w:val="Normal"/>
    <w:uiPriority w:val="39"/>
    <w:qFormat/>
    <w:rsid w:val="000950E2"/>
    <w:pPr>
      <w:widowControl w:val="0"/>
      <w:autoSpaceDE w:val="0"/>
      <w:autoSpaceDN w:val="0"/>
      <w:spacing w:before="21" w:after="0" w:line="240" w:lineRule="auto"/>
      <w:ind w:left="1143" w:hanging="340"/>
    </w:pPr>
    <w:rPr>
      <w:rFonts w:ascii="Trebuchet MS" w:eastAsia="Trebuchet MS" w:hAnsi="Trebuchet MS" w:cs="Trebuchet MS"/>
      <w:b/>
      <w:bCs/>
    </w:rPr>
  </w:style>
  <w:style w:type="paragraph" w:styleId="TOC3">
    <w:name w:val="toc 3"/>
    <w:basedOn w:val="Normal"/>
    <w:uiPriority w:val="1"/>
    <w:qFormat/>
    <w:rsid w:val="000950E2"/>
    <w:pPr>
      <w:widowControl w:val="0"/>
      <w:autoSpaceDE w:val="0"/>
      <w:autoSpaceDN w:val="0"/>
      <w:spacing w:before="20" w:after="0" w:line="240" w:lineRule="auto"/>
      <w:ind w:left="1544" w:hanging="516"/>
    </w:pPr>
    <w:rPr>
      <w:rFonts w:ascii="Trebuchet MS" w:eastAsia="Trebuchet MS" w:hAnsi="Trebuchet MS" w:cs="Trebuchet MS"/>
      <w:b/>
      <w:bCs/>
    </w:rPr>
  </w:style>
  <w:style w:type="paragraph" w:styleId="Title">
    <w:name w:val="Title"/>
    <w:basedOn w:val="Normal"/>
    <w:link w:val="TitleChar"/>
    <w:uiPriority w:val="1"/>
    <w:qFormat/>
    <w:rsid w:val="000950E2"/>
    <w:pPr>
      <w:widowControl w:val="0"/>
      <w:autoSpaceDE w:val="0"/>
      <w:autoSpaceDN w:val="0"/>
      <w:spacing w:after="0" w:line="667" w:lineRule="exact"/>
      <w:ind w:left="6572"/>
    </w:pPr>
    <w:rPr>
      <w:rFonts w:ascii="Arial" w:eastAsia="Arial" w:hAnsi="Arial" w:cs="Arial"/>
      <w:sz w:val="60"/>
      <w:szCs w:val="60"/>
    </w:rPr>
  </w:style>
  <w:style w:type="character" w:customStyle="1" w:styleId="TitleChar">
    <w:name w:val="Title Char"/>
    <w:basedOn w:val="DefaultParagraphFont"/>
    <w:link w:val="Title"/>
    <w:uiPriority w:val="1"/>
    <w:rsid w:val="000950E2"/>
    <w:rPr>
      <w:rFonts w:ascii="Arial" w:eastAsia="Arial" w:hAnsi="Arial" w:cs="Arial"/>
      <w:sz w:val="60"/>
      <w:szCs w:val="60"/>
    </w:rPr>
  </w:style>
  <w:style w:type="paragraph" w:customStyle="1" w:styleId="TableParagraph">
    <w:name w:val="Table Paragraph"/>
    <w:basedOn w:val="Normal"/>
    <w:uiPriority w:val="1"/>
    <w:qFormat/>
    <w:rsid w:val="000950E2"/>
    <w:pPr>
      <w:widowControl w:val="0"/>
      <w:autoSpaceDE w:val="0"/>
      <w:autoSpaceDN w:val="0"/>
      <w:spacing w:after="0" w:line="240" w:lineRule="auto"/>
      <w:jc w:val="center"/>
    </w:pPr>
    <w:rPr>
      <w:rFonts w:ascii="Trebuchet MS" w:eastAsia="Trebuchet MS" w:hAnsi="Trebuchet MS" w:cs="Trebuchet MS"/>
    </w:rPr>
  </w:style>
  <w:style w:type="paragraph" w:styleId="CommentText">
    <w:name w:val="annotation text"/>
    <w:basedOn w:val="Normal"/>
    <w:link w:val="CommentTextChar"/>
    <w:uiPriority w:val="99"/>
    <w:unhideWhenUsed/>
    <w:rsid w:val="000950E2"/>
    <w:pPr>
      <w:spacing w:line="240" w:lineRule="auto"/>
    </w:pPr>
    <w:rPr>
      <w:sz w:val="20"/>
      <w:szCs w:val="20"/>
      <w:lang w:val="bg-BG"/>
    </w:rPr>
  </w:style>
  <w:style w:type="character" w:customStyle="1" w:styleId="CommentTextChar">
    <w:name w:val="Comment Text Char"/>
    <w:basedOn w:val="DefaultParagraphFont"/>
    <w:link w:val="CommentText"/>
    <w:uiPriority w:val="99"/>
    <w:rsid w:val="000950E2"/>
    <w:rPr>
      <w:sz w:val="20"/>
      <w:szCs w:val="20"/>
      <w:lang w:val="bg-BG"/>
    </w:rPr>
  </w:style>
  <w:style w:type="character" w:customStyle="1" w:styleId="CommentSubjectChar">
    <w:name w:val="Comment Subject Char"/>
    <w:basedOn w:val="CommentTextChar"/>
    <w:link w:val="CommentSubject"/>
    <w:uiPriority w:val="99"/>
    <w:semiHidden/>
    <w:rsid w:val="000950E2"/>
    <w:rPr>
      <w:b/>
      <w:bCs/>
      <w:sz w:val="20"/>
      <w:szCs w:val="20"/>
      <w:lang w:val="bg-BG"/>
    </w:rPr>
  </w:style>
  <w:style w:type="paragraph" w:styleId="CommentSubject">
    <w:name w:val="annotation subject"/>
    <w:basedOn w:val="CommentText"/>
    <w:next w:val="CommentText"/>
    <w:link w:val="CommentSubjectChar"/>
    <w:uiPriority w:val="99"/>
    <w:semiHidden/>
    <w:unhideWhenUsed/>
    <w:rsid w:val="000950E2"/>
    <w:rPr>
      <w:b/>
      <w:bCs/>
    </w:rPr>
  </w:style>
  <w:style w:type="character" w:customStyle="1" w:styleId="BalloonTextChar">
    <w:name w:val="Balloon Text Char"/>
    <w:basedOn w:val="DefaultParagraphFont"/>
    <w:link w:val="BalloonText"/>
    <w:uiPriority w:val="99"/>
    <w:semiHidden/>
    <w:rsid w:val="000950E2"/>
    <w:rPr>
      <w:rFonts w:ascii="Segoe UI" w:hAnsi="Segoe UI" w:cs="Segoe UI"/>
      <w:sz w:val="18"/>
      <w:szCs w:val="18"/>
      <w:lang w:val="bg-BG"/>
    </w:rPr>
  </w:style>
  <w:style w:type="paragraph" w:styleId="BalloonText">
    <w:name w:val="Balloon Text"/>
    <w:basedOn w:val="Normal"/>
    <w:link w:val="BalloonTextChar"/>
    <w:uiPriority w:val="99"/>
    <w:semiHidden/>
    <w:unhideWhenUsed/>
    <w:rsid w:val="000950E2"/>
    <w:pPr>
      <w:spacing w:after="0" w:line="240" w:lineRule="auto"/>
    </w:pPr>
    <w:rPr>
      <w:rFonts w:ascii="Segoe UI" w:hAnsi="Segoe UI" w:cs="Segoe UI"/>
      <w:sz w:val="18"/>
      <w:szCs w:val="18"/>
      <w:lang w:val="bg-BG"/>
    </w:rPr>
  </w:style>
  <w:style w:type="character" w:customStyle="1" w:styleId="jlqj4b">
    <w:name w:val="jlqj4b"/>
    <w:basedOn w:val="DefaultParagraphFont"/>
    <w:rsid w:val="000950E2"/>
  </w:style>
  <w:style w:type="character" w:customStyle="1" w:styleId="EndnoteTextChar">
    <w:name w:val="Endnote Text Char"/>
    <w:basedOn w:val="DefaultParagraphFont"/>
    <w:link w:val="EndnoteText"/>
    <w:uiPriority w:val="99"/>
    <w:semiHidden/>
    <w:rsid w:val="000950E2"/>
    <w:rPr>
      <w:sz w:val="20"/>
      <w:szCs w:val="20"/>
      <w:lang w:val="bg-BG"/>
    </w:rPr>
  </w:style>
  <w:style w:type="paragraph" w:styleId="EndnoteText">
    <w:name w:val="endnote text"/>
    <w:basedOn w:val="Normal"/>
    <w:link w:val="EndnoteTextChar"/>
    <w:uiPriority w:val="99"/>
    <w:semiHidden/>
    <w:unhideWhenUsed/>
    <w:rsid w:val="000950E2"/>
    <w:pPr>
      <w:spacing w:after="0" w:line="240" w:lineRule="auto"/>
    </w:pPr>
    <w:rPr>
      <w:sz w:val="20"/>
      <w:szCs w:val="20"/>
      <w:lang w:val="bg-BG"/>
    </w:rPr>
  </w:style>
  <w:style w:type="paragraph" w:customStyle="1" w:styleId="stylensource">
    <w:name w:val="stylensource"/>
    <w:basedOn w:val="Normal"/>
    <w:rsid w:val="000950E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Strong">
    <w:name w:val="Strong"/>
    <w:basedOn w:val="DefaultParagraphFont"/>
    <w:uiPriority w:val="22"/>
    <w:qFormat/>
    <w:rsid w:val="000950E2"/>
    <w:rPr>
      <w:b/>
      <w:bCs/>
    </w:rPr>
  </w:style>
  <w:style w:type="character" w:customStyle="1" w:styleId="Picturecaption4">
    <w:name w:val="Picture caption (4)_"/>
    <w:basedOn w:val="DefaultParagraphFont"/>
    <w:link w:val="Picturecaption40"/>
    <w:rsid w:val="000950E2"/>
    <w:rPr>
      <w:rFonts w:ascii="Times New Roman" w:eastAsia="Times New Roman" w:hAnsi="Times New Roman" w:cs="Times New Roman"/>
      <w:shd w:val="clear" w:color="auto" w:fill="FFFFFF"/>
    </w:rPr>
  </w:style>
  <w:style w:type="paragraph" w:customStyle="1" w:styleId="Picturecaption40">
    <w:name w:val="Picture caption (4)"/>
    <w:basedOn w:val="Normal"/>
    <w:link w:val="Picturecaption4"/>
    <w:rsid w:val="000950E2"/>
    <w:pPr>
      <w:widowControl w:val="0"/>
      <w:shd w:val="clear" w:color="auto" w:fill="FFFFFF"/>
      <w:spacing w:after="0" w:line="245" w:lineRule="exact"/>
      <w:jc w:val="both"/>
    </w:pPr>
    <w:rPr>
      <w:rFonts w:ascii="Times New Roman" w:eastAsia="Times New Roman" w:hAnsi="Times New Roman" w:cs="Times New Roman"/>
    </w:rPr>
  </w:style>
  <w:style w:type="character" w:customStyle="1" w:styleId="Bodytext7">
    <w:name w:val="Body text (7)_"/>
    <w:basedOn w:val="DefaultParagraphFont"/>
    <w:link w:val="Bodytext70"/>
    <w:rsid w:val="000950E2"/>
    <w:rPr>
      <w:rFonts w:ascii="Times New Roman" w:eastAsia="Times New Roman" w:hAnsi="Times New Roman" w:cs="Times New Roman"/>
      <w:i/>
      <w:iCs/>
      <w:sz w:val="21"/>
      <w:szCs w:val="21"/>
      <w:shd w:val="clear" w:color="auto" w:fill="FFFFFF"/>
    </w:rPr>
  </w:style>
  <w:style w:type="paragraph" w:customStyle="1" w:styleId="Bodytext70">
    <w:name w:val="Body text (7)"/>
    <w:basedOn w:val="Normal"/>
    <w:link w:val="Bodytext7"/>
    <w:rsid w:val="000950E2"/>
    <w:pPr>
      <w:widowControl w:val="0"/>
      <w:shd w:val="clear" w:color="auto" w:fill="FFFFFF"/>
      <w:spacing w:after="0" w:line="0" w:lineRule="atLeast"/>
      <w:jc w:val="both"/>
    </w:pPr>
    <w:rPr>
      <w:rFonts w:ascii="Times New Roman" w:eastAsia="Times New Roman" w:hAnsi="Times New Roman" w:cs="Times New Roman"/>
      <w:i/>
      <w:iCs/>
      <w:sz w:val="21"/>
      <w:szCs w:val="21"/>
    </w:rPr>
  </w:style>
  <w:style w:type="table" w:styleId="TableGrid">
    <w:name w:val="Table Grid"/>
    <w:basedOn w:val="TableNormal"/>
    <w:uiPriority w:val="39"/>
    <w:rsid w:val="000950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cturecaption4Exact">
    <w:name w:val="Picture caption (4) Exact"/>
    <w:basedOn w:val="DefaultParagraphFont"/>
    <w:rsid w:val="000950E2"/>
    <w:rPr>
      <w:rFonts w:ascii="Times New Roman" w:eastAsia="Times New Roman" w:hAnsi="Times New Roman" w:cs="Times New Roman"/>
      <w:b w:val="0"/>
      <w:bCs w:val="0"/>
      <w:i w:val="0"/>
      <w:iCs w:val="0"/>
      <w:smallCaps w:val="0"/>
      <w:strike w:val="0"/>
      <w:u w:val="none"/>
    </w:rPr>
  </w:style>
  <w:style w:type="character" w:customStyle="1" w:styleId="Headerorfooter">
    <w:name w:val="Header or footer_"/>
    <w:basedOn w:val="DefaultParagraphFont"/>
    <w:link w:val="Headerorfooter0"/>
    <w:rsid w:val="000950E2"/>
    <w:rPr>
      <w:rFonts w:ascii="Times New Roman" w:eastAsia="Times New Roman" w:hAnsi="Times New Roman" w:cs="Times New Roman"/>
      <w:shd w:val="clear" w:color="auto" w:fill="FFFFFF"/>
    </w:rPr>
  </w:style>
  <w:style w:type="paragraph" w:customStyle="1" w:styleId="Headerorfooter0">
    <w:name w:val="Header or footer"/>
    <w:basedOn w:val="Normal"/>
    <w:link w:val="Headerorfooter"/>
    <w:rsid w:val="000950E2"/>
    <w:pPr>
      <w:widowControl w:val="0"/>
      <w:shd w:val="clear" w:color="auto" w:fill="FFFFFF"/>
      <w:spacing w:after="0" w:line="0" w:lineRule="atLeast"/>
    </w:pPr>
    <w:rPr>
      <w:rFonts w:ascii="Times New Roman" w:eastAsia="Times New Roman" w:hAnsi="Times New Roman" w:cs="Times New Roman"/>
    </w:rPr>
  </w:style>
  <w:style w:type="character" w:customStyle="1" w:styleId="Headerorfooter11pt">
    <w:name w:val="Header or footer + 11 pt"/>
    <w:aliases w:val="Bold"/>
    <w:basedOn w:val="Headerorfooter"/>
    <w:rsid w:val="000950E2"/>
    <w:rPr>
      <w:rFonts w:ascii="Times New Roman" w:eastAsia="Times New Roman" w:hAnsi="Times New Roman" w:cs="Times New Roman"/>
      <w:b/>
      <w:bCs/>
      <w:color w:val="000000"/>
      <w:spacing w:val="0"/>
      <w:w w:val="100"/>
      <w:position w:val="0"/>
      <w:sz w:val="22"/>
      <w:szCs w:val="22"/>
      <w:shd w:val="clear" w:color="auto" w:fill="FFFFFF"/>
      <w:lang w:val="bg-BG" w:eastAsia="bg-BG" w:bidi="bg-BG"/>
    </w:rPr>
  </w:style>
  <w:style w:type="character" w:customStyle="1" w:styleId="Picturecaption26Exact">
    <w:name w:val="Picture caption (26) Exact"/>
    <w:basedOn w:val="DefaultParagraphFont"/>
    <w:rsid w:val="000950E2"/>
    <w:rPr>
      <w:rFonts w:ascii="Times New Roman" w:eastAsia="Times New Roman" w:hAnsi="Times New Roman" w:cs="Times New Roman"/>
      <w:b w:val="0"/>
      <w:bCs w:val="0"/>
      <w:i/>
      <w:iCs/>
      <w:smallCaps w:val="0"/>
      <w:strike w:val="0"/>
      <w:u w:val="none"/>
    </w:rPr>
  </w:style>
  <w:style w:type="character" w:customStyle="1" w:styleId="Picturecaption26">
    <w:name w:val="Picture caption (26)_"/>
    <w:basedOn w:val="DefaultParagraphFont"/>
    <w:link w:val="Picturecaption260"/>
    <w:rsid w:val="000950E2"/>
    <w:rPr>
      <w:rFonts w:ascii="Times New Roman" w:eastAsia="Times New Roman" w:hAnsi="Times New Roman" w:cs="Times New Roman"/>
      <w:i/>
      <w:iCs/>
      <w:shd w:val="clear" w:color="auto" w:fill="FFFFFF"/>
    </w:rPr>
  </w:style>
  <w:style w:type="paragraph" w:customStyle="1" w:styleId="Picturecaption260">
    <w:name w:val="Picture caption (26)"/>
    <w:basedOn w:val="Normal"/>
    <w:link w:val="Picturecaption26"/>
    <w:rsid w:val="000950E2"/>
    <w:pPr>
      <w:widowControl w:val="0"/>
      <w:shd w:val="clear" w:color="auto" w:fill="FFFFFF"/>
      <w:spacing w:after="0" w:line="82" w:lineRule="exact"/>
      <w:jc w:val="both"/>
    </w:pPr>
    <w:rPr>
      <w:rFonts w:ascii="Times New Roman" w:eastAsia="Times New Roman" w:hAnsi="Times New Roman" w:cs="Times New Roman"/>
      <w:i/>
      <w:iCs/>
    </w:rPr>
  </w:style>
  <w:style w:type="character" w:styleId="Emphasis">
    <w:name w:val="Emphasis"/>
    <w:basedOn w:val="DefaultParagraphFont"/>
    <w:uiPriority w:val="20"/>
    <w:qFormat/>
    <w:rsid w:val="000950E2"/>
    <w:rPr>
      <w:i/>
      <w:iCs/>
    </w:rPr>
  </w:style>
  <w:style w:type="paragraph" w:customStyle="1" w:styleId="Default">
    <w:name w:val="Default"/>
    <w:rsid w:val="000950E2"/>
    <w:pPr>
      <w:autoSpaceDE w:val="0"/>
      <w:autoSpaceDN w:val="0"/>
      <w:adjustRightInd w:val="0"/>
      <w:spacing w:after="0" w:line="240" w:lineRule="auto"/>
    </w:pPr>
    <w:rPr>
      <w:rFonts w:ascii="Open Sans" w:hAnsi="Open Sans" w:cs="Open Sans"/>
      <w:color w:val="000000"/>
      <w:sz w:val="24"/>
      <w:szCs w:val="24"/>
      <w:lang w:val="en-GB"/>
    </w:rPr>
  </w:style>
  <w:style w:type="character" w:customStyle="1" w:styleId="A2">
    <w:name w:val="A2"/>
    <w:uiPriority w:val="99"/>
    <w:rsid w:val="000950E2"/>
    <w:rPr>
      <w:rFonts w:ascii="Open Sans" w:hAnsi="Open Sans" w:cs="Open Sans" w:hint="default"/>
      <w:color w:val="000000"/>
      <w:sz w:val="36"/>
      <w:szCs w:val="36"/>
    </w:rPr>
  </w:style>
  <w:style w:type="character" w:styleId="CommentReference">
    <w:name w:val="annotation reference"/>
    <w:basedOn w:val="DefaultParagraphFont"/>
    <w:uiPriority w:val="99"/>
    <w:semiHidden/>
    <w:unhideWhenUsed/>
    <w:rsid w:val="00D1701E"/>
    <w:rPr>
      <w:sz w:val="16"/>
      <w:szCs w:val="16"/>
    </w:rPr>
  </w:style>
  <w:style w:type="character" w:customStyle="1" w:styleId="wtoffscreen">
    <w:name w:val="wtoffscreen"/>
    <w:basedOn w:val="DefaultParagraphFont"/>
    <w:rsid w:val="00E83FF4"/>
  </w:style>
  <w:style w:type="paragraph" w:customStyle="1" w:styleId="Sourceline">
    <w:name w:val="Source line"/>
    <w:basedOn w:val="Normal"/>
    <w:link w:val="SourcelineChar"/>
    <w:rsid w:val="00BC26E7"/>
    <w:pPr>
      <w:spacing w:before="60" w:after="200" w:line="240" w:lineRule="auto"/>
      <w:jc w:val="center"/>
    </w:pPr>
    <w:rPr>
      <w:rFonts w:ascii="Calibri" w:eastAsia="Calibri" w:hAnsi="Calibri" w:cs="Times New Roman"/>
      <w:i/>
      <w:sz w:val="20"/>
      <w:szCs w:val="20"/>
      <w:u w:val="single"/>
      <w:lang w:val="bg-BG" w:eastAsia="bg-BG"/>
    </w:rPr>
  </w:style>
  <w:style w:type="character" w:customStyle="1" w:styleId="SourcelineChar">
    <w:name w:val="Source line Char"/>
    <w:link w:val="Sourceline"/>
    <w:locked/>
    <w:rsid w:val="00BC26E7"/>
    <w:rPr>
      <w:rFonts w:ascii="Calibri" w:eastAsia="Calibri" w:hAnsi="Calibri" w:cs="Times New Roman"/>
      <w:i/>
      <w:sz w:val="20"/>
      <w:szCs w:val="20"/>
      <w:u w:val="single"/>
      <w:lang w:val="bg-BG" w:eastAsia="bg-BG"/>
    </w:rPr>
  </w:style>
  <w:style w:type="paragraph" w:customStyle="1" w:styleId="FiguresTablesCaption">
    <w:name w:val="Figures &amp; Tables Caption"/>
    <w:basedOn w:val="Normal"/>
    <w:link w:val="FiguresTablesCaptionChar"/>
    <w:qFormat/>
    <w:rsid w:val="00BC26E7"/>
    <w:pPr>
      <w:keepNext/>
      <w:spacing w:before="200" w:after="120" w:line="240" w:lineRule="auto"/>
      <w:jc w:val="center"/>
    </w:pPr>
    <w:rPr>
      <w:rFonts w:ascii="Calibri" w:eastAsia="Times New Roman" w:hAnsi="Calibri" w:cs="Times New Roman"/>
      <w:b/>
      <w:i/>
      <w:iCs/>
      <w:color w:val="44546A"/>
      <w:szCs w:val="18"/>
      <w:lang w:val="bg-BG" w:eastAsia="bg-BG"/>
    </w:rPr>
  </w:style>
  <w:style w:type="character" w:customStyle="1" w:styleId="FiguresTablesCaptionChar">
    <w:name w:val="Figures &amp; Tables Caption Char"/>
    <w:basedOn w:val="DefaultParagraphFont"/>
    <w:link w:val="FiguresTablesCaption"/>
    <w:rsid w:val="00BC26E7"/>
    <w:rPr>
      <w:rFonts w:ascii="Calibri" w:eastAsia="Times New Roman" w:hAnsi="Calibri" w:cs="Times New Roman"/>
      <w:b/>
      <w:i/>
      <w:iCs/>
      <w:color w:val="44546A"/>
      <w:szCs w:val="18"/>
      <w:lang w:val="bg-BG" w:eastAsia="bg-BG"/>
    </w:rPr>
  </w:style>
  <w:style w:type="paragraph" w:styleId="TableofFigures">
    <w:name w:val="table of figures"/>
    <w:basedOn w:val="Normal"/>
    <w:next w:val="Normal"/>
    <w:uiPriority w:val="99"/>
    <w:unhideWhenUsed/>
    <w:rsid w:val="00ED1556"/>
    <w:pPr>
      <w:spacing w:after="0"/>
    </w:pPr>
  </w:style>
  <w:style w:type="paragraph" w:styleId="Header">
    <w:name w:val="header"/>
    <w:basedOn w:val="Normal"/>
    <w:link w:val="HeaderChar"/>
    <w:uiPriority w:val="99"/>
    <w:unhideWhenUsed/>
    <w:rsid w:val="00ED15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ED1556"/>
  </w:style>
  <w:style w:type="paragraph" w:styleId="Footer">
    <w:name w:val="footer"/>
    <w:basedOn w:val="Normal"/>
    <w:link w:val="FooterChar"/>
    <w:uiPriority w:val="99"/>
    <w:unhideWhenUsed/>
    <w:rsid w:val="00ED15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1556"/>
  </w:style>
  <w:style w:type="paragraph" w:styleId="TOCHeading">
    <w:name w:val="TOC Heading"/>
    <w:basedOn w:val="Heading1"/>
    <w:next w:val="Normal"/>
    <w:uiPriority w:val="39"/>
    <w:semiHidden/>
    <w:unhideWhenUsed/>
    <w:qFormat/>
    <w:rsid w:val="00ED1556"/>
    <w:pPr>
      <w:spacing w:before="480" w:line="276" w:lineRule="auto"/>
      <w:outlineLvl w:val="9"/>
    </w:pPr>
    <w:rPr>
      <w:rFonts w:asciiTheme="majorHAnsi" w:eastAsiaTheme="majorEastAsia" w:hAnsiTheme="majorHAnsi" w:cstheme="majorBidi"/>
      <w:b/>
      <w:bCs/>
      <w:lang w:val="en-US" w:eastAsia="ja-JP"/>
    </w:rPr>
  </w:style>
  <w:style w:type="paragraph" w:customStyle="1" w:styleId="CharChar1CharCharChar1">
    <w:name w:val="Char Char1 Char Char Char1"/>
    <w:basedOn w:val="Normal"/>
    <w:rsid w:val="003F2A00"/>
    <w:pPr>
      <w:adjustRightInd w:val="0"/>
      <w:spacing w:line="240" w:lineRule="exact"/>
      <w:jc w:val="both"/>
      <w:textAlignment w:val="baseline"/>
    </w:pPr>
    <w:rPr>
      <w:rFonts w:ascii="Tahoma" w:eastAsia="Times New Roman" w:hAnsi="Tahoma" w:cs="Times New Roman"/>
      <w:sz w:val="20"/>
      <w:szCs w:val="20"/>
    </w:rPr>
  </w:style>
  <w:style w:type="paragraph" w:customStyle="1" w:styleId="Text2">
    <w:name w:val="Text 2"/>
    <w:basedOn w:val="Normal"/>
    <w:uiPriority w:val="90"/>
    <w:qFormat/>
    <w:rsid w:val="00E80523"/>
    <w:pPr>
      <w:spacing w:after="240" w:line="240" w:lineRule="auto"/>
      <w:ind w:left="1202"/>
      <w:jc w:val="both"/>
    </w:pPr>
    <w:rPr>
      <w:rFonts w:ascii="Times New Roman" w:eastAsia="Times New Roman" w:hAnsi="Times New Roman" w:cs="Times New Roman"/>
      <w:sz w:val="24"/>
      <w:szCs w:val="20"/>
      <w:lang w:val="bg-BG" w:eastAsia="en-IE"/>
    </w:rPr>
  </w:style>
  <w:style w:type="character" w:customStyle="1" w:styleId="CaptionChar">
    <w:name w:val="Caption Char"/>
    <w:aliases w:val="Tasks Char,Beschriftung Char2 Char,Beschriftung Char1 Char1 Char,Beschriftung Char Char Char1 Char,Beschriftung Char1 Char Char Char,Beschriftung Char Char Char Char Char,Beschriftung Char Char1 Char Char,Beschriftung Char Char2 Char"/>
    <w:link w:val="Caption"/>
    <w:rsid w:val="00BD246F"/>
    <w:rPr>
      <w:i/>
      <w:iCs/>
      <w:color w:val="44546A" w:themeColor="text2"/>
      <w:sz w:val="18"/>
      <w:szCs w:val="18"/>
      <w:lang w:val="bg-BG"/>
    </w:rPr>
  </w:style>
  <w:style w:type="character" w:customStyle="1" w:styleId="Bodytext2">
    <w:name w:val="Body text|2_"/>
    <w:basedOn w:val="DefaultParagraphFont"/>
    <w:link w:val="Bodytext20"/>
    <w:rsid w:val="000B6410"/>
    <w:rPr>
      <w:shd w:val="clear" w:color="auto" w:fill="FFFFFF"/>
    </w:rPr>
  </w:style>
  <w:style w:type="paragraph" w:customStyle="1" w:styleId="Bodytext20">
    <w:name w:val="Body text|2"/>
    <w:basedOn w:val="Normal"/>
    <w:link w:val="Bodytext2"/>
    <w:qFormat/>
    <w:rsid w:val="000B6410"/>
    <w:pPr>
      <w:widowControl w:val="0"/>
      <w:shd w:val="clear" w:color="auto" w:fill="FFFFFF"/>
      <w:spacing w:after="120" w:line="266" w:lineRule="exact"/>
      <w:ind w:hanging="460"/>
      <w:jc w:val="both"/>
    </w:pPr>
  </w:style>
  <w:style w:type="paragraph" w:customStyle="1" w:styleId="visualclear">
    <w:name w:val="visualclear"/>
    <w:basedOn w:val="Normal"/>
    <w:rsid w:val="002D2BB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ocument-description">
    <w:name w:val="document-description"/>
    <w:basedOn w:val="Normal"/>
    <w:rsid w:val="00DE1B1C"/>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F07EBB"/>
    <w:rPr>
      <w:color w:val="954F72" w:themeColor="followedHyperlink"/>
      <w:u w:val="single"/>
    </w:rPr>
  </w:style>
  <w:style w:type="paragraph" w:customStyle="1" w:styleId="m">
    <w:name w:val="m"/>
    <w:basedOn w:val="Normal"/>
    <w:rsid w:val="00F07EB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lid-translation">
    <w:name w:val="tlid-translation"/>
    <w:basedOn w:val="DefaultParagraphFont"/>
    <w:rsid w:val="00F07EBB"/>
  </w:style>
  <w:style w:type="paragraph" w:customStyle="1" w:styleId="CharChar1CharCharChar10">
    <w:name w:val="Char Char1 Char Char Char1"/>
    <w:basedOn w:val="Normal"/>
    <w:rsid w:val="00CE38C4"/>
    <w:pPr>
      <w:adjustRightInd w:val="0"/>
      <w:spacing w:line="240" w:lineRule="exact"/>
      <w:jc w:val="both"/>
      <w:textAlignment w:val="baseline"/>
    </w:pPr>
    <w:rPr>
      <w:rFonts w:ascii="Tahoma" w:eastAsia="Times New Roman" w:hAnsi="Tahoma" w:cs="Times New Roman"/>
      <w:sz w:val="20"/>
      <w:szCs w:val="20"/>
    </w:rPr>
  </w:style>
  <w:style w:type="character" w:customStyle="1" w:styleId="UnresolvedMention">
    <w:name w:val="Unresolved Mention"/>
    <w:basedOn w:val="DefaultParagraphFont"/>
    <w:uiPriority w:val="99"/>
    <w:semiHidden/>
    <w:unhideWhenUsed/>
    <w:rsid w:val="00EE1A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0991">
      <w:bodyDiv w:val="1"/>
      <w:marLeft w:val="0"/>
      <w:marRight w:val="0"/>
      <w:marTop w:val="0"/>
      <w:marBottom w:val="0"/>
      <w:divBdr>
        <w:top w:val="none" w:sz="0" w:space="0" w:color="auto"/>
        <w:left w:val="none" w:sz="0" w:space="0" w:color="auto"/>
        <w:bottom w:val="none" w:sz="0" w:space="0" w:color="auto"/>
        <w:right w:val="none" w:sz="0" w:space="0" w:color="auto"/>
      </w:divBdr>
    </w:div>
    <w:div w:id="199513237">
      <w:bodyDiv w:val="1"/>
      <w:marLeft w:val="0"/>
      <w:marRight w:val="0"/>
      <w:marTop w:val="0"/>
      <w:marBottom w:val="0"/>
      <w:divBdr>
        <w:top w:val="none" w:sz="0" w:space="0" w:color="auto"/>
        <w:left w:val="none" w:sz="0" w:space="0" w:color="auto"/>
        <w:bottom w:val="none" w:sz="0" w:space="0" w:color="auto"/>
        <w:right w:val="none" w:sz="0" w:space="0" w:color="auto"/>
      </w:divBdr>
      <w:divsChild>
        <w:div w:id="72209631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21449100">
      <w:bodyDiv w:val="1"/>
      <w:marLeft w:val="0"/>
      <w:marRight w:val="0"/>
      <w:marTop w:val="0"/>
      <w:marBottom w:val="0"/>
      <w:divBdr>
        <w:top w:val="none" w:sz="0" w:space="0" w:color="auto"/>
        <w:left w:val="none" w:sz="0" w:space="0" w:color="auto"/>
        <w:bottom w:val="none" w:sz="0" w:space="0" w:color="auto"/>
        <w:right w:val="none" w:sz="0" w:space="0" w:color="auto"/>
      </w:divBdr>
      <w:divsChild>
        <w:div w:id="169101991">
          <w:marLeft w:val="0"/>
          <w:marRight w:val="0"/>
          <w:marTop w:val="0"/>
          <w:marBottom w:val="0"/>
          <w:divBdr>
            <w:top w:val="none" w:sz="0" w:space="0" w:color="auto"/>
            <w:left w:val="none" w:sz="0" w:space="0" w:color="auto"/>
            <w:bottom w:val="none" w:sz="0" w:space="0" w:color="auto"/>
            <w:right w:val="none" w:sz="0" w:space="0" w:color="auto"/>
          </w:divBdr>
        </w:div>
        <w:div w:id="175657426">
          <w:marLeft w:val="0"/>
          <w:marRight w:val="0"/>
          <w:marTop w:val="0"/>
          <w:marBottom w:val="0"/>
          <w:divBdr>
            <w:top w:val="none" w:sz="0" w:space="0" w:color="auto"/>
            <w:left w:val="none" w:sz="0" w:space="0" w:color="auto"/>
            <w:bottom w:val="none" w:sz="0" w:space="0" w:color="auto"/>
            <w:right w:val="none" w:sz="0" w:space="0" w:color="auto"/>
          </w:divBdr>
        </w:div>
      </w:divsChild>
    </w:div>
    <w:div w:id="328800385">
      <w:bodyDiv w:val="1"/>
      <w:marLeft w:val="0"/>
      <w:marRight w:val="0"/>
      <w:marTop w:val="0"/>
      <w:marBottom w:val="0"/>
      <w:divBdr>
        <w:top w:val="none" w:sz="0" w:space="0" w:color="auto"/>
        <w:left w:val="none" w:sz="0" w:space="0" w:color="auto"/>
        <w:bottom w:val="none" w:sz="0" w:space="0" w:color="auto"/>
        <w:right w:val="none" w:sz="0" w:space="0" w:color="auto"/>
      </w:divBdr>
    </w:div>
    <w:div w:id="355423773">
      <w:bodyDiv w:val="1"/>
      <w:marLeft w:val="0"/>
      <w:marRight w:val="0"/>
      <w:marTop w:val="0"/>
      <w:marBottom w:val="0"/>
      <w:divBdr>
        <w:top w:val="none" w:sz="0" w:space="0" w:color="auto"/>
        <w:left w:val="none" w:sz="0" w:space="0" w:color="auto"/>
        <w:bottom w:val="none" w:sz="0" w:space="0" w:color="auto"/>
        <w:right w:val="none" w:sz="0" w:space="0" w:color="auto"/>
      </w:divBdr>
    </w:div>
    <w:div w:id="427117743">
      <w:bodyDiv w:val="1"/>
      <w:marLeft w:val="0"/>
      <w:marRight w:val="0"/>
      <w:marTop w:val="0"/>
      <w:marBottom w:val="0"/>
      <w:divBdr>
        <w:top w:val="none" w:sz="0" w:space="0" w:color="auto"/>
        <w:left w:val="none" w:sz="0" w:space="0" w:color="auto"/>
        <w:bottom w:val="none" w:sz="0" w:space="0" w:color="auto"/>
        <w:right w:val="none" w:sz="0" w:space="0" w:color="auto"/>
      </w:divBdr>
      <w:divsChild>
        <w:div w:id="1008599366">
          <w:marLeft w:val="0"/>
          <w:marRight w:val="0"/>
          <w:marTop w:val="0"/>
          <w:marBottom w:val="0"/>
          <w:divBdr>
            <w:top w:val="none" w:sz="0" w:space="0" w:color="auto"/>
            <w:left w:val="none" w:sz="0" w:space="0" w:color="auto"/>
            <w:bottom w:val="none" w:sz="0" w:space="0" w:color="auto"/>
            <w:right w:val="none" w:sz="0" w:space="0" w:color="auto"/>
          </w:divBdr>
          <w:divsChild>
            <w:div w:id="1988196539">
              <w:marLeft w:val="0"/>
              <w:marRight w:val="0"/>
              <w:marTop w:val="0"/>
              <w:marBottom w:val="0"/>
              <w:divBdr>
                <w:top w:val="none" w:sz="0" w:space="0" w:color="auto"/>
                <w:left w:val="none" w:sz="0" w:space="0" w:color="auto"/>
                <w:bottom w:val="none" w:sz="0" w:space="0" w:color="auto"/>
                <w:right w:val="none" w:sz="0" w:space="0" w:color="auto"/>
              </w:divBdr>
              <w:divsChild>
                <w:div w:id="267394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2672402">
      <w:bodyDiv w:val="1"/>
      <w:marLeft w:val="0"/>
      <w:marRight w:val="0"/>
      <w:marTop w:val="0"/>
      <w:marBottom w:val="0"/>
      <w:divBdr>
        <w:top w:val="none" w:sz="0" w:space="0" w:color="auto"/>
        <w:left w:val="none" w:sz="0" w:space="0" w:color="auto"/>
        <w:bottom w:val="none" w:sz="0" w:space="0" w:color="auto"/>
        <w:right w:val="none" w:sz="0" w:space="0" w:color="auto"/>
      </w:divBdr>
    </w:div>
    <w:div w:id="494994351">
      <w:bodyDiv w:val="1"/>
      <w:marLeft w:val="0"/>
      <w:marRight w:val="0"/>
      <w:marTop w:val="0"/>
      <w:marBottom w:val="0"/>
      <w:divBdr>
        <w:top w:val="none" w:sz="0" w:space="0" w:color="auto"/>
        <w:left w:val="none" w:sz="0" w:space="0" w:color="auto"/>
        <w:bottom w:val="none" w:sz="0" w:space="0" w:color="auto"/>
        <w:right w:val="none" w:sz="0" w:space="0" w:color="auto"/>
      </w:divBdr>
      <w:divsChild>
        <w:div w:id="1593391147">
          <w:marLeft w:val="0"/>
          <w:marRight w:val="0"/>
          <w:marTop w:val="0"/>
          <w:marBottom w:val="0"/>
          <w:divBdr>
            <w:top w:val="none" w:sz="0" w:space="0" w:color="auto"/>
            <w:left w:val="none" w:sz="0" w:space="0" w:color="auto"/>
            <w:bottom w:val="none" w:sz="0" w:space="0" w:color="auto"/>
            <w:right w:val="none" w:sz="0" w:space="0" w:color="auto"/>
          </w:divBdr>
          <w:divsChild>
            <w:div w:id="633831188">
              <w:marLeft w:val="0"/>
              <w:marRight w:val="0"/>
              <w:marTop w:val="0"/>
              <w:marBottom w:val="0"/>
              <w:divBdr>
                <w:top w:val="none" w:sz="0" w:space="0" w:color="auto"/>
                <w:left w:val="none" w:sz="0" w:space="0" w:color="auto"/>
                <w:bottom w:val="none" w:sz="0" w:space="0" w:color="auto"/>
                <w:right w:val="none" w:sz="0" w:space="0" w:color="auto"/>
              </w:divBdr>
              <w:divsChild>
                <w:div w:id="164513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954792">
          <w:marLeft w:val="0"/>
          <w:marRight w:val="0"/>
          <w:marTop w:val="0"/>
          <w:marBottom w:val="0"/>
          <w:divBdr>
            <w:top w:val="none" w:sz="0" w:space="0" w:color="auto"/>
            <w:left w:val="none" w:sz="0" w:space="0" w:color="auto"/>
            <w:bottom w:val="none" w:sz="0" w:space="0" w:color="auto"/>
            <w:right w:val="none" w:sz="0" w:space="0" w:color="auto"/>
          </w:divBdr>
          <w:divsChild>
            <w:div w:id="852455321">
              <w:marLeft w:val="0"/>
              <w:marRight w:val="0"/>
              <w:marTop w:val="0"/>
              <w:marBottom w:val="0"/>
              <w:divBdr>
                <w:top w:val="none" w:sz="0" w:space="0" w:color="auto"/>
                <w:left w:val="none" w:sz="0" w:space="0" w:color="auto"/>
                <w:bottom w:val="none" w:sz="0" w:space="0" w:color="auto"/>
                <w:right w:val="none" w:sz="0" w:space="0" w:color="auto"/>
              </w:divBdr>
              <w:divsChild>
                <w:div w:id="173588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9151584">
          <w:marLeft w:val="0"/>
          <w:marRight w:val="0"/>
          <w:marTop w:val="0"/>
          <w:marBottom w:val="0"/>
          <w:divBdr>
            <w:top w:val="none" w:sz="0" w:space="0" w:color="auto"/>
            <w:left w:val="none" w:sz="0" w:space="0" w:color="auto"/>
            <w:bottom w:val="none" w:sz="0" w:space="0" w:color="auto"/>
            <w:right w:val="none" w:sz="0" w:space="0" w:color="auto"/>
          </w:divBdr>
        </w:div>
        <w:div w:id="1924995490">
          <w:marLeft w:val="0"/>
          <w:marRight w:val="0"/>
          <w:marTop w:val="0"/>
          <w:marBottom w:val="0"/>
          <w:divBdr>
            <w:top w:val="none" w:sz="0" w:space="0" w:color="auto"/>
            <w:left w:val="none" w:sz="0" w:space="0" w:color="auto"/>
            <w:bottom w:val="none" w:sz="0" w:space="0" w:color="auto"/>
            <w:right w:val="none" w:sz="0" w:space="0" w:color="auto"/>
          </w:divBdr>
          <w:divsChild>
            <w:div w:id="604268634">
              <w:marLeft w:val="0"/>
              <w:marRight w:val="0"/>
              <w:marTop w:val="0"/>
              <w:marBottom w:val="0"/>
              <w:divBdr>
                <w:top w:val="none" w:sz="0" w:space="0" w:color="auto"/>
                <w:left w:val="none" w:sz="0" w:space="0" w:color="auto"/>
                <w:bottom w:val="none" w:sz="0" w:space="0" w:color="auto"/>
                <w:right w:val="none" w:sz="0" w:space="0" w:color="auto"/>
              </w:divBdr>
              <w:divsChild>
                <w:div w:id="537742326">
                  <w:marLeft w:val="0"/>
                  <w:marRight w:val="0"/>
                  <w:marTop w:val="0"/>
                  <w:marBottom w:val="0"/>
                  <w:divBdr>
                    <w:top w:val="none" w:sz="0" w:space="0" w:color="auto"/>
                    <w:left w:val="none" w:sz="0" w:space="0" w:color="auto"/>
                    <w:bottom w:val="none" w:sz="0" w:space="0" w:color="auto"/>
                    <w:right w:val="none" w:sz="0" w:space="0" w:color="auto"/>
                  </w:divBdr>
                </w:div>
                <w:div w:id="1677415704">
                  <w:marLeft w:val="0"/>
                  <w:marRight w:val="0"/>
                  <w:marTop w:val="0"/>
                  <w:marBottom w:val="0"/>
                  <w:divBdr>
                    <w:top w:val="none" w:sz="0" w:space="0" w:color="auto"/>
                    <w:left w:val="none" w:sz="0" w:space="0" w:color="auto"/>
                    <w:bottom w:val="none" w:sz="0" w:space="0" w:color="auto"/>
                    <w:right w:val="none" w:sz="0" w:space="0" w:color="auto"/>
                  </w:divBdr>
                  <w:divsChild>
                    <w:div w:id="1118715860">
                      <w:marLeft w:val="0"/>
                      <w:marRight w:val="0"/>
                      <w:marTop w:val="0"/>
                      <w:marBottom w:val="0"/>
                      <w:divBdr>
                        <w:top w:val="none" w:sz="0" w:space="0" w:color="auto"/>
                        <w:left w:val="none" w:sz="0" w:space="0" w:color="auto"/>
                        <w:bottom w:val="none" w:sz="0" w:space="0" w:color="auto"/>
                        <w:right w:val="none" w:sz="0" w:space="0" w:color="auto"/>
                      </w:divBdr>
                    </w:div>
                    <w:div w:id="1210802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492470">
          <w:marLeft w:val="0"/>
          <w:marRight w:val="0"/>
          <w:marTop w:val="0"/>
          <w:marBottom w:val="0"/>
          <w:divBdr>
            <w:top w:val="none" w:sz="0" w:space="0" w:color="auto"/>
            <w:left w:val="none" w:sz="0" w:space="0" w:color="auto"/>
            <w:bottom w:val="none" w:sz="0" w:space="0" w:color="auto"/>
            <w:right w:val="none" w:sz="0" w:space="0" w:color="auto"/>
          </w:divBdr>
          <w:divsChild>
            <w:div w:id="2083485642">
              <w:marLeft w:val="0"/>
              <w:marRight w:val="0"/>
              <w:marTop w:val="0"/>
              <w:marBottom w:val="0"/>
              <w:divBdr>
                <w:top w:val="none" w:sz="0" w:space="0" w:color="auto"/>
                <w:left w:val="none" w:sz="0" w:space="0" w:color="auto"/>
                <w:bottom w:val="none" w:sz="0" w:space="0" w:color="auto"/>
                <w:right w:val="none" w:sz="0" w:space="0" w:color="auto"/>
              </w:divBdr>
              <w:divsChild>
                <w:div w:id="1661928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99486">
          <w:marLeft w:val="0"/>
          <w:marRight w:val="0"/>
          <w:marTop w:val="0"/>
          <w:marBottom w:val="0"/>
          <w:divBdr>
            <w:top w:val="none" w:sz="0" w:space="0" w:color="auto"/>
            <w:left w:val="none" w:sz="0" w:space="0" w:color="auto"/>
            <w:bottom w:val="none" w:sz="0" w:space="0" w:color="auto"/>
            <w:right w:val="none" w:sz="0" w:space="0" w:color="auto"/>
          </w:divBdr>
        </w:div>
        <w:div w:id="2118014359">
          <w:marLeft w:val="0"/>
          <w:marRight w:val="0"/>
          <w:marTop w:val="0"/>
          <w:marBottom w:val="0"/>
          <w:divBdr>
            <w:top w:val="none" w:sz="0" w:space="0" w:color="auto"/>
            <w:left w:val="none" w:sz="0" w:space="0" w:color="auto"/>
            <w:bottom w:val="none" w:sz="0" w:space="0" w:color="auto"/>
            <w:right w:val="none" w:sz="0" w:space="0" w:color="auto"/>
          </w:divBdr>
          <w:divsChild>
            <w:div w:id="831532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34280">
      <w:bodyDiv w:val="1"/>
      <w:marLeft w:val="0"/>
      <w:marRight w:val="0"/>
      <w:marTop w:val="0"/>
      <w:marBottom w:val="0"/>
      <w:divBdr>
        <w:top w:val="none" w:sz="0" w:space="0" w:color="auto"/>
        <w:left w:val="none" w:sz="0" w:space="0" w:color="auto"/>
        <w:bottom w:val="none" w:sz="0" w:space="0" w:color="auto"/>
        <w:right w:val="none" w:sz="0" w:space="0" w:color="auto"/>
      </w:divBdr>
    </w:div>
    <w:div w:id="569730808">
      <w:bodyDiv w:val="1"/>
      <w:marLeft w:val="0"/>
      <w:marRight w:val="0"/>
      <w:marTop w:val="0"/>
      <w:marBottom w:val="0"/>
      <w:divBdr>
        <w:top w:val="none" w:sz="0" w:space="0" w:color="auto"/>
        <w:left w:val="none" w:sz="0" w:space="0" w:color="auto"/>
        <w:bottom w:val="none" w:sz="0" w:space="0" w:color="auto"/>
        <w:right w:val="none" w:sz="0" w:space="0" w:color="auto"/>
      </w:divBdr>
      <w:divsChild>
        <w:div w:id="63456879">
          <w:marLeft w:val="0"/>
          <w:marRight w:val="0"/>
          <w:marTop w:val="0"/>
          <w:marBottom w:val="0"/>
          <w:divBdr>
            <w:top w:val="none" w:sz="0" w:space="0" w:color="auto"/>
            <w:left w:val="none" w:sz="0" w:space="0" w:color="auto"/>
            <w:bottom w:val="none" w:sz="0" w:space="0" w:color="auto"/>
            <w:right w:val="none" w:sz="0" w:space="0" w:color="auto"/>
          </w:divBdr>
        </w:div>
        <w:div w:id="583806430">
          <w:marLeft w:val="0"/>
          <w:marRight w:val="0"/>
          <w:marTop w:val="0"/>
          <w:marBottom w:val="0"/>
          <w:divBdr>
            <w:top w:val="none" w:sz="0" w:space="0" w:color="auto"/>
            <w:left w:val="none" w:sz="0" w:space="0" w:color="auto"/>
            <w:bottom w:val="none" w:sz="0" w:space="0" w:color="auto"/>
            <w:right w:val="none" w:sz="0" w:space="0" w:color="auto"/>
          </w:divBdr>
        </w:div>
      </w:divsChild>
    </w:div>
    <w:div w:id="588273273">
      <w:bodyDiv w:val="1"/>
      <w:marLeft w:val="0"/>
      <w:marRight w:val="0"/>
      <w:marTop w:val="0"/>
      <w:marBottom w:val="0"/>
      <w:divBdr>
        <w:top w:val="none" w:sz="0" w:space="0" w:color="auto"/>
        <w:left w:val="none" w:sz="0" w:space="0" w:color="auto"/>
        <w:bottom w:val="none" w:sz="0" w:space="0" w:color="auto"/>
        <w:right w:val="none" w:sz="0" w:space="0" w:color="auto"/>
      </w:divBdr>
    </w:div>
    <w:div w:id="660236341">
      <w:bodyDiv w:val="1"/>
      <w:marLeft w:val="0"/>
      <w:marRight w:val="0"/>
      <w:marTop w:val="0"/>
      <w:marBottom w:val="0"/>
      <w:divBdr>
        <w:top w:val="none" w:sz="0" w:space="0" w:color="auto"/>
        <w:left w:val="none" w:sz="0" w:space="0" w:color="auto"/>
        <w:bottom w:val="none" w:sz="0" w:space="0" w:color="auto"/>
        <w:right w:val="none" w:sz="0" w:space="0" w:color="auto"/>
      </w:divBdr>
    </w:div>
    <w:div w:id="663512608">
      <w:bodyDiv w:val="1"/>
      <w:marLeft w:val="0"/>
      <w:marRight w:val="0"/>
      <w:marTop w:val="0"/>
      <w:marBottom w:val="0"/>
      <w:divBdr>
        <w:top w:val="none" w:sz="0" w:space="0" w:color="auto"/>
        <w:left w:val="none" w:sz="0" w:space="0" w:color="auto"/>
        <w:bottom w:val="none" w:sz="0" w:space="0" w:color="auto"/>
        <w:right w:val="none" w:sz="0" w:space="0" w:color="auto"/>
      </w:divBdr>
      <w:divsChild>
        <w:div w:id="650980673">
          <w:marLeft w:val="0"/>
          <w:marRight w:val="0"/>
          <w:marTop w:val="0"/>
          <w:marBottom w:val="0"/>
          <w:divBdr>
            <w:top w:val="none" w:sz="0" w:space="0" w:color="auto"/>
            <w:left w:val="none" w:sz="0" w:space="0" w:color="auto"/>
            <w:bottom w:val="none" w:sz="0" w:space="0" w:color="auto"/>
            <w:right w:val="none" w:sz="0" w:space="0" w:color="auto"/>
          </w:divBdr>
          <w:divsChild>
            <w:div w:id="1464228157">
              <w:marLeft w:val="0"/>
              <w:marRight w:val="0"/>
              <w:marTop w:val="0"/>
              <w:marBottom w:val="0"/>
              <w:divBdr>
                <w:top w:val="none" w:sz="0" w:space="0" w:color="auto"/>
                <w:left w:val="none" w:sz="0" w:space="0" w:color="auto"/>
                <w:bottom w:val="none" w:sz="0" w:space="0" w:color="auto"/>
                <w:right w:val="none" w:sz="0" w:space="0" w:color="auto"/>
              </w:divBdr>
              <w:divsChild>
                <w:div w:id="157293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8943557">
          <w:marLeft w:val="0"/>
          <w:marRight w:val="0"/>
          <w:marTop w:val="0"/>
          <w:marBottom w:val="0"/>
          <w:divBdr>
            <w:top w:val="none" w:sz="0" w:space="0" w:color="auto"/>
            <w:left w:val="none" w:sz="0" w:space="0" w:color="auto"/>
            <w:bottom w:val="none" w:sz="0" w:space="0" w:color="auto"/>
            <w:right w:val="none" w:sz="0" w:space="0" w:color="auto"/>
          </w:divBdr>
          <w:divsChild>
            <w:div w:id="1069303159">
              <w:marLeft w:val="0"/>
              <w:marRight w:val="0"/>
              <w:marTop w:val="0"/>
              <w:marBottom w:val="0"/>
              <w:divBdr>
                <w:top w:val="none" w:sz="0" w:space="0" w:color="auto"/>
                <w:left w:val="none" w:sz="0" w:space="0" w:color="auto"/>
                <w:bottom w:val="none" w:sz="0" w:space="0" w:color="auto"/>
                <w:right w:val="none" w:sz="0" w:space="0" w:color="auto"/>
              </w:divBdr>
              <w:divsChild>
                <w:div w:id="639114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0445893">
          <w:marLeft w:val="0"/>
          <w:marRight w:val="0"/>
          <w:marTop w:val="0"/>
          <w:marBottom w:val="0"/>
          <w:divBdr>
            <w:top w:val="none" w:sz="0" w:space="0" w:color="auto"/>
            <w:left w:val="none" w:sz="0" w:space="0" w:color="auto"/>
            <w:bottom w:val="none" w:sz="0" w:space="0" w:color="auto"/>
            <w:right w:val="none" w:sz="0" w:space="0" w:color="auto"/>
          </w:divBdr>
        </w:div>
        <w:div w:id="1707413444">
          <w:marLeft w:val="0"/>
          <w:marRight w:val="0"/>
          <w:marTop w:val="0"/>
          <w:marBottom w:val="0"/>
          <w:divBdr>
            <w:top w:val="none" w:sz="0" w:space="0" w:color="auto"/>
            <w:left w:val="none" w:sz="0" w:space="0" w:color="auto"/>
            <w:bottom w:val="none" w:sz="0" w:space="0" w:color="auto"/>
            <w:right w:val="none" w:sz="0" w:space="0" w:color="auto"/>
          </w:divBdr>
          <w:divsChild>
            <w:div w:id="800341753">
              <w:marLeft w:val="0"/>
              <w:marRight w:val="0"/>
              <w:marTop w:val="0"/>
              <w:marBottom w:val="0"/>
              <w:divBdr>
                <w:top w:val="none" w:sz="0" w:space="0" w:color="auto"/>
                <w:left w:val="none" w:sz="0" w:space="0" w:color="auto"/>
                <w:bottom w:val="none" w:sz="0" w:space="0" w:color="auto"/>
                <w:right w:val="none" w:sz="0" w:space="0" w:color="auto"/>
              </w:divBdr>
              <w:divsChild>
                <w:div w:id="1008295103">
                  <w:marLeft w:val="0"/>
                  <w:marRight w:val="0"/>
                  <w:marTop w:val="0"/>
                  <w:marBottom w:val="0"/>
                  <w:divBdr>
                    <w:top w:val="none" w:sz="0" w:space="0" w:color="auto"/>
                    <w:left w:val="none" w:sz="0" w:space="0" w:color="auto"/>
                    <w:bottom w:val="none" w:sz="0" w:space="0" w:color="auto"/>
                    <w:right w:val="none" w:sz="0" w:space="0" w:color="auto"/>
                  </w:divBdr>
                </w:div>
                <w:div w:id="1526407748">
                  <w:marLeft w:val="0"/>
                  <w:marRight w:val="0"/>
                  <w:marTop w:val="0"/>
                  <w:marBottom w:val="0"/>
                  <w:divBdr>
                    <w:top w:val="none" w:sz="0" w:space="0" w:color="auto"/>
                    <w:left w:val="none" w:sz="0" w:space="0" w:color="auto"/>
                    <w:bottom w:val="none" w:sz="0" w:space="0" w:color="auto"/>
                    <w:right w:val="none" w:sz="0" w:space="0" w:color="auto"/>
                  </w:divBdr>
                  <w:divsChild>
                    <w:div w:id="578946147">
                      <w:marLeft w:val="0"/>
                      <w:marRight w:val="0"/>
                      <w:marTop w:val="0"/>
                      <w:marBottom w:val="0"/>
                      <w:divBdr>
                        <w:top w:val="none" w:sz="0" w:space="0" w:color="auto"/>
                        <w:left w:val="none" w:sz="0" w:space="0" w:color="auto"/>
                        <w:bottom w:val="none" w:sz="0" w:space="0" w:color="auto"/>
                        <w:right w:val="none" w:sz="0" w:space="0" w:color="auto"/>
                      </w:divBdr>
                    </w:div>
                    <w:div w:id="1089430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589119">
          <w:marLeft w:val="0"/>
          <w:marRight w:val="0"/>
          <w:marTop w:val="0"/>
          <w:marBottom w:val="0"/>
          <w:divBdr>
            <w:top w:val="none" w:sz="0" w:space="0" w:color="auto"/>
            <w:left w:val="none" w:sz="0" w:space="0" w:color="auto"/>
            <w:bottom w:val="none" w:sz="0" w:space="0" w:color="auto"/>
            <w:right w:val="none" w:sz="0" w:space="0" w:color="auto"/>
          </w:divBdr>
          <w:divsChild>
            <w:div w:id="1333222102">
              <w:marLeft w:val="0"/>
              <w:marRight w:val="0"/>
              <w:marTop w:val="0"/>
              <w:marBottom w:val="0"/>
              <w:divBdr>
                <w:top w:val="none" w:sz="0" w:space="0" w:color="auto"/>
                <w:left w:val="none" w:sz="0" w:space="0" w:color="auto"/>
                <w:bottom w:val="none" w:sz="0" w:space="0" w:color="auto"/>
                <w:right w:val="none" w:sz="0" w:space="0" w:color="auto"/>
              </w:divBdr>
              <w:divsChild>
                <w:div w:id="1467822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605141">
          <w:marLeft w:val="0"/>
          <w:marRight w:val="0"/>
          <w:marTop w:val="0"/>
          <w:marBottom w:val="0"/>
          <w:divBdr>
            <w:top w:val="none" w:sz="0" w:space="0" w:color="auto"/>
            <w:left w:val="none" w:sz="0" w:space="0" w:color="auto"/>
            <w:bottom w:val="none" w:sz="0" w:space="0" w:color="auto"/>
            <w:right w:val="none" w:sz="0" w:space="0" w:color="auto"/>
          </w:divBdr>
        </w:div>
        <w:div w:id="921335327">
          <w:marLeft w:val="0"/>
          <w:marRight w:val="0"/>
          <w:marTop w:val="0"/>
          <w:marBottom w:val="0"/>
          <w:divBdr>
            <w:top w:val="none" w:sz="0" w:space="0" w:color="auto"/>
            <w:left w:val="none" w:sz="0" w:space="0" w:color="auto"/>
            <w:bottom w:val="none" w:sz="0" w:space="0" w:color="auto"/>
            <w:right w:val="none" w:sz="0" w:space="0" w:color="auto"/>
          </w:divBdr>
          <w:divsChild>
            <w:div w:id="1686517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7054637">
      <w:bodyDiv w:val="1"/>
      <w:marLeft w:val="0"/>
      <w:marRight w:val="0"/>
      <w:marTop w:val="0"/>
      <w:marBottom w:val="0"/>
      <w:divBdr>
        <w:top w:val="none" w:sz="0" w:space="0" w:color="auto"/>
        <w:left w:val="none" w:sz="0" w:space="0" w:color="auto"/>
        <w:bottom w:val="none" w:sz="0" w:space="0" w:color="auto"/>
        <w:right w:val="none" w:sz="0" w:space="0" w:color="auto"/>
      </w:divBdr>
    </w:div>
    <w:div w:id="848131513">
      <w:bodyDiv w:val="1"/>
      <w:marLeft w:val="0"/>
      <w:marRight w:val="0"/>
      <w:marTop w:val="0"/>
      <w:marBottom w:val="0"/>
      <w:divBdr>
        <w:top w:val="none" w:sz="0" w:space="0" w:color="auto"/>
        <w:left w:val="none" w:sz="0" w:space="0" w:color="auto"/>
        <w:bottom w:val="none" w:sz="0" w:space="0" w:color="auto"/>
        <w:right w:val="none" w:sz="0" w:space="0" w:color="auto"/>
      </w:divBdr>
    </w:div>
    <w:div w:id="927033345">
      <w:bodyDiv w:val="1"/>
      <w:marLeft w:val="0"/>
      <w:marRight w:val="0"/>
      <w:marTop w:val="0"/>
      <w:marBottom w:val="0"/>
      <w:divBdr>
        <w:top w:val="none" w:sz="0" w:space="0" w:color="auto"/>
        <w:left w:val="none" w:sz="0" w:space="0" w:color="auto"/>
        <w:bottom w:val="none" w:sz="0" w:space="0" w:color="auto"/>
        <w:right w:val="none" w:sz="0" w:space="0" w:color="auto"/>
      </w:divBdr>
    </w:div>
    <w:div w:id="984090684">
      <w:bodyDiv w:val="1"/>
      <w:marLeft w:val="0"/>
      <w:marRight w:val="0"/>
      <w:marTop w:val="0"/>
      <w:marBottom w:val="0"/>
      <w:divBdr>
        <w:top w:val="none" w:sz="0" w:space="0" w:color="auto"/>
        <w:left w:val="none" w:sz="0" w:space="0" w:color="auto"/>
        <w:bottom w:val="none" w:sz="0" w:space="0" w:color="auto"/>
        <w:right w:val="none" w:sz="0" w:space="0" w:color="auto"/>
      </w:divBdr>
      <w:divsChild>
        <w:div w:id="2140029712">
          <w:marLeft w:val="0"/>
          <w:marRight w:val="0"/>
          <w:marTop w:val="0"/>
          <w:marBottom w:val="0"/>
          <w:divBdr>
            <w:top w:val="none" w:sz="0" w:space="0" w:color="auto"/>
            <w:left w:val="none" w:sz="0" w:space="0" w:color="auto"/>
            <w:bottom w:val="none" w:sz="0" w:space="0" w:color="auto"/>
            <w:right w:val="none" w:sz="0" w:space="0" w:color="auto"/>
          </w:divBdr>
        </w:div>
        <w:div w:id="1302494792">
          <w:marLeft w:val="0"/>
          <w:marRight w:val="0"/>
          <w:marTop w:val="0"/>
          <w:marBottom w:val="0"/>
          <w:divBdr>
            <w:top w:val="none" w:sz="0" w:space="0" w:color="auto"/>
            <w:left w:val="none" w:sz="0" w:space="0" w:color="auto"/>
            <w:bottom w:val="none" w:sz="0" w:space="0" w:color="auto"/>
            <w:right w:val="none" w:sz="0" w:space="0" w:color="auto"/>
          </w:divBdr>
        </w:div>
      </w:divsChild>
    </w:div>
    <w:div w:id="1023895550">
      <w:bodyDiv w:val="1"/>
      <w:marLeft w:val="0"/>
      <w:marRight w:val="0"/>
      <w:marTop w:val="0"/>
      <w:marBottom w:val="0"/>
      <w:divBdr>
        <w:top w:val="none" w:sz="0" w:space="0" w:color="auto"/>
        <w:left w:val="none" w:sz="0" w:space="0" w:color="auto"/>
        <w:bottom w:val="none" w:sz="0" w:space="0" w:color="auto"/>
        <w:right w:val="none" w:sz="0" w:space="0" w:color="auto"/>
      </w:divBdr>
    </w:div>
    <w:div w:id="1038434886">
      <w:bodyDiv w:val="1"/>
      <w:marLeft w:val="0"/>
      <w:marRight w:val="0"/>
      <w:marTop w:val="0"/>
      <w:marBottom w:val="0"/>
      <w:divBdr>
        <w:top w:val="none" w:sz="0" w:space="0" w:color="auto"/>
        <w:left w:val="none" w:sz="0" w:space="0" w:color="auto"/>
        <w:bottom w:val="none" w:sz="0" w:space="0" w:color="auto"/>
        <w:right w:val="none" w:sz="0" w:space="0" w:color="auto"/>
      </w:divBdr>
    </w:div>
    <w:div w:id="1069036092">
      <w:bodyDiv w:val="1"/>
      <w:marLeft w:val="0"/>
      <w:marRight w:val="0"/>
      <w:marTop w:val="0"/>
      <w:marBottom w:val="0"/>
      <w:divBdr>
        <w:top w:val="none" w:sz="0" w:space="0" w:color="auto"/>
        <w:left w:val="none" w:sz="0" w:space="0" w:color="auto"/>
        <w:bottom w:val="none" w:sz="0" w:space="0" w:color="auto"/>
        <w:right w:val="none" w:sz="0" w:space="0" w:color="auto"/>
      </w:divBdr>
    </w:div>
    <w:div w:id="1275090529">
      <w:bodyDiv w:val="1"/>
      <w:marLeft w:val="0"/>
      <w:marRight w:val="0"/>
      <w:marTop w:val="0"/>
      <w:marBottom w:val="0"/>
      <w:divBdr>
        <w:top w:val="none" w:sz="0" w:space="0" w:color="auto"/>
        <w:left w:val="none" w:sz="0" w:space="0" w:color="auto"/>
        <w:bottom w:val="none" w:sz="0" w:space="0" w:color="auto"/>
        <w:right w:val="none" w:sz="0" w:space="0" w:color="auto"/>
      </w:divBdr>
    </w:div>
    <w:div w:id="1339969466">
      <w:bodyDiv w:val="1"/>
      <w:marLeft w:val="0"/>
      <w:marRight w:val="0"/>
      <w:marTop w:val="0"/>
      <w:marBottom w:val="0"/>
      <w:divBdr>
        <w:top w:val="none" w:sz="0" w:space="0" w:color="auto"/>
        <w:left w:val="none" w:sz="0" w:space="0" w:color="auto"/>
        <w:bottom w:val="none" w:sz="0" w:space="0" w:color="auto"/>
        <w:right w:val="none" w:sz="0" w:space="0" w:color="auto"/>
      </w:divBdr>
    </w:div>
    <w:div w:id="1366098310">
      <w:bodyDiv w:val="1"/>
      <w:marLeft w:val="0"/>
      <w:marRight w:val="0"/>
      <w:marTop w:val="0"/>
      <w:marBottom w:val="0"/>
      <w:divBdr>
        <w:top w:val="none" w:sz="0" w:space="0" w:color="auto"/>
        <w:left w:val="none" w:sz="0" w:space="0" w:color="auto"/>
        <w:bottom w:val="none" w:sz="0" w:space="0" w:color="auto"/>
        <w:right w:val="none" w:sz="0" w:space="0" w:color="auto"/>
      </w:divBdr>
    </w:div>
    <w:div w:id="1371565604">
      <w:bodyDiv w:val="1"/>
      <w:marLeft w:val="0"/>
      <w:marRight w:val="0"/>
      <w:marTop w:val="0"/>
      <w:marBottom w:val="0"/>
      <w:divBdr>
        <w:top w:val="none" w:sz="0" w:space="0" w:color="auto"/>
        <w:left w:val="none" w:sz="0" w:space="0" w:color="auto"/>
        <w:bottom w:val="none" w:sz="0" w:space="0" w:color="auto"/>
        <w:right w:val="none" w:sz="0" w:space="0" w:color="auto"/>
      </w:divBdr>
    </w:div>
    <w:div w:id="1414430654">
      <w:bodyDiv w:val="1"/>
      <w:marLeft w:val="0"/>
      <w:marRight w:val="0"/>
      <w:marTop w:val="0"/>
      <w:marBottom w:val="0"/>
      <w:divBdr>
        <w:top w:val="none" w:sz="0" w:space="0" w:color="auto"/>
        <w:left w:val="none" w:sz="0" w:space="0" w:color="auto"/>
        <w:bottom w:val="none" w:sz="0" w:space="0" w:color="auto"/>
        <w:right w:val="none" w:sz="0" w:space="0" w:color="auto"/>
      </w:divBdr>
    </w:div>
    <w:div w:id="1447457338">
      <w:bodyDiv w:val="1"/>
      <w:marLeft w:val="0"/>
      <w:marRight w:val="0"/>
      <w:marTop w:val="0"/>
      <w:marBottom w:val="0"/>
      <w:divBdr>
        <w:top w:val="none" w:sz="0" w:space="0" w:color="auto"/>
        <w:left w:val="none" w:sz="0" w:space="0" w:color="auto"/>
        <w:bottom w:val="none" w:sz="0" w:space="0" w:color="auto"/>
        <w:right w:val="none" w:sz="0" w:space="0" w:color="auto"/>
      </w:divBdr>
    </w:div>
    <w:div w:id="1463887448">
      <w:bodyDiv w:val="1"/>
      <w:marLeft w:val="0"/>
      <w:marRight w:val="0"/>
      <w:marTop w:val="0"/>
      <w:marBottom w:val="0"/>
      <w:divBdr>
        <w:top w:val="none" w:sz="0" w:space="0" w:color="auto"/>
        <w:left w:val="none" w:sz="0" w:space="0" w:color="auto"/>
        <w:bottom w:val="none" w:sz="0" w:space="0" w:color="auto"/>
        <w:right w:val="none" w:sz="0" w:space="0" w:color="auto"/>
      </w:divBdr>
      <w:divsChild>
        <w:div w:id="846748276">
          <w:marLeft w:val="0"/>
          <w:marRight w:val="0"/>
          <w:marTop w:val="0"/>
          <w:marBottom w:val="0"/>
          <w:divBdr>
            <w:top w:val="none" w:sz="0" w:space="0" w:color="auto"/>
            <w:left w:val="none" w:sz="0" w:space="0" w:color="auto"/>
            <w:bottom w:val="none" w:sz="0" w:space="0" w:color="auto"/>
            <w:right w:val="none" w:sz="0" w:space="0" w:color="auto"/>
          </w:divBdr>
          <w:divsChild>
            <w:div w:id="1649435733">
              <w:marLeft w:val="0"/>
              <w:marRight w:val="0"/>
              <w:marTop w:val="0"/>
              <w:marBottom w:val="0"/>
              <w:divBdr>
                <w:top w:val="none" w:sz="0" w:space="0" w:color="auto"/>
                <w:left w:val="none" w:sz="0" w:space="0" w:color="auto"/>
                <w:bottom w:val="none" w:sz="0" w:space="0" w:color="auto"/>
                <w:right w:val="none" w:sz="0" w:space="0" w:color="auto"/>
              </w:divBdr>
              <w:divsChild>
                <w:div w:id="809788112">
                  <w:marLeft w:val="0"/>
                  <w:marRight w:val="0"/>
                  <w:marTop w:val="0"/>
                  <w:marBottom w:val="0"/>
                  <w:divBdr>
                    <w:top w:val="none" w:sz="0" w:space="0" w:color="auto"/>
                    <w:left w:val="none" w:sz="0" w:space="0" w:color="auto"/>
                    <w:bottom w:val="none" w:sz="0" w:space="0" w:color="auto"/>
                    <w:right w:val="none" w:sz="0" w:space="0" w:color="auto"/>
                  </w:divBdr>
                  <w:divsChild>
                    <w:div w:id="162303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1988808">
      <w:bodyDiv w:val="1"/>
      <w:marLeft w:val="0"/>
      <w:marRight w:val="0"/>
      <w:marTop w:val="0"/>
      <w:marBottom w:val="0"/>
      <w:divBdr>
        <w:top w:val="none" w:sz="0" w:space="0" w:color="auto"/>
        <w:left w:val="none" w:sz="0" w:space="0" w:color="auto"/>
        <w:bottom w:val="none" w:sz="0" w:space="0" w:color="auto"/>
        <w:right w:val="none" w:sz="0" w:space="0" w:color="auto"/>
      </w:divBdr>
    </w:div>
    <w:div w:id="1595090146">
      <w:bodyDiv w:val="1"/>
      <w:marLeft w:val="0"/>
      <w:marRight w:val="0"/>
      <w:marTop w:val="0"/>
      <w:marBottom w:val="0"/>
      <w:divBdr>
        <w:top w:val="none" w:sz="0" w:space="0" w:color="auto"/>
        <w:left w:val="none" w:sz="0" w:space="0" w:color="auto"/>
        <w:bottom w:val="none" w:sz="0" w:space="0" w:color="auto"/>
        <w:right w:val="none" w:sz="0" w:space="0" w:color="auto"/>
      </w:divBdr>
    </w:div>
    <w:div w:id="1767382004">
      <w:bodyDiv w:val="1"/>
      <w:marLeft w:val="0"/>
      <w:marRight w:val="0"/>
      <w:marTop w:val="0"/>
      <w:marBottom w:val="0"/>
      <w:divBdr>
        <w:top w:val="none" w:sz="0" w:space="0" w:color="auto"/>
        <w:left w:val="none" w:sz="0" w:space="0" w:color="auto"/>
        <w:bottom w:val="none" w:sz="0" w:space="0" w:color="auto"/>
        <w:right w:val="none" w:sz="0" w:space="0" w:color="auto"/>
      </w:divBdr>
    </w:div>
    <w:div w:id="1833446846">
      <w:bodyDiv w:val="1"/>
      <w:marLeft w:val="0"/>
      <w:marRight w:val="0"/>
      <w:marTop w:val="0"/>
      <w:marBottom w:val="0"/>
      <w:divBdr>
        <w:top w:val="none" w:sz="0" w:space="0" w:color="auto"/>
        <w:left w:val="none" w:sz="0" w:space="0" w:color="auto"/>
        <w:bottom w:val="none" w:sz="0" w:space="0" w:color="auto"/>
        <w:right w:val="none" w:sz="0" w:space="0" w:color="auto"/>
      </w:divBdr>
    </w:div>
    <w:div w:id="1979340996">
      <w:bodyDiv w:val="1"/>
      <w:marLeft w:val="0"/>
      <w:marRight w:val="0"/>
      <w:marTop w:val="0"/>
      <w:marBottom w:val="0"/>
      <w:divBdr>
        <w:top w:val="none" w:sz="0" w:space="0" w:color="auto"/>
        <w:left w:val="none" w:sz="0" w:space="0" w:color="auto"/>
        <w:bottom w:val="none" w:sz="0" w:space="0" w:color="auto"/>
        <w:right w:val="none" w:sz="0" w:space="0" w:color="auto"/>
      </w:divBdr>
    </w:div>
    <w:div w:id="2036301285">
      <w:bodyDiv w:val="1"/>
      <w:marLeft w:val="0"/>
      <w:marRight w:val="0"/>
      <w:marTop w:val="0"/>
      <w:marBottom w:val="0"/>
      <w:divBdr>
        <w:top w:val="none" w:sz="0" w:space="0" w:color="auto"/>
        <w:left w:val="none" w:sz="0" w:space="0" w:color="auto"/>
        <w:bottom w:val="none" w:sz="0" w:space="0" w:color="auto"/>
        <w:right w:val="none" w:sz="0" w:space="0" w:color="auto"/>
      </w:divBdr>
      <w:divsChild>
        <w:div w:id="665326253">
          <w:marLeft w:val="0"/>
          <w:marRight w:val="0"/>
          <w:marTop w:val="0"/>
          <w:marBottom w:val="0"/>
          <w:divBdr>
            <w:top w:val="none" w:sz="0" w:space="0" w:color="auto"/>
            <w:left w:val="none" w:sz="0" w:space="0" w:color="auto"/>
            <w:bottom w:val="none" w:sz="0" w:space="0" w:color="auto"/>
            <w:right w:val="none" w:sz="0" w:space="0" w:color="auto"/>
          </w:divBdr>
          <w:divsChild>
            <w:div w:id="1023673718">
              <w:marLeft w:val="0"/>
              <w:marRight w:val="0"/>
              <w:marTop w:val="0"/>
              <w:marBottom w:val="0"/>
              <w:divBdr>
                <w:top w:val="none" w:sz="0" w:space="0" w:color="auto"/>
                <w:left w:val="none" w:sz="0" w:space="0" w:color="auto"/>
                <w:bottom w:val="none" w:sz="0" w:space="0" w:color="auto"/>
                <w:right w:val="none" w:sz="0" w:space="0" w:color="auto"/>
              </w:divBdr>
            </w:div>
            <w:div w:id="3126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6340338">
      <w:bodyDiv w:val="1"/>
      <w:marLeft w:val="0"/>
      <w:marRight w:val="0"/>
      <w:marTop w:val="0"/>
      <w:marBottom w:val="0"/>
      <w:divBdr>
        <w:top w:val="none" w:sz="0" w:space="0" w:color="auto"/>
        <w:left w:val="none" w:sz="0" w:space="0" w:color="auto"/>
        <w:bottom w:val="none" w:sz="0" w:space="0" w:color="auto"/>
        <w:right w:val="none" w:sz="0" w:space="0" w:color="auto"/>
      </w:divBdr>
      <w:divsChild>
        <w:div w:id="1323511693">
          <w:marLeft w:val="0"/>
          <w:marRight w:val="0"/>
          <w:marTop w:val="0"/>
          <w:marBottom w:val="0"/>
          <w:divBdr>
            <w:top w:val="none" w:sz="0" w:space="0" w:color="auto"/>
            <w:left w:val="none" w:sz="0" w:space="0" w:color="auto"/>
            <w:bottom w:val="none" w:sz="0" w:space="0" w:color="auto"/>
            <w:right w:val="none" w:sz="0" w:space="0" w:color="auto"/>
          </w:divBdr>
          <w:divsChild>
            <w:div w:id="60829574">
              <w:marLeft w:val="0"/>
              <w:marRight w:val="0"/>
              <w:marTop w:val="0"/>
              <w:marBottom w:val="0"/>
              <w:divBdr>
                <w:top w:val="none" w:sz="0" w:space="0" w:color="auto"/>
                <w:left w:val="none" w:sz="0" w:space="0" w:color="auto"/>
                <w:bottom w:val="none" w:sz="0" w:space="0" w:color="auto"/>
                <w:right w:val="none" w:sz="0" w:space="0" w:color="auto"/>
              </w:divBdr>
              <w:divsChild>
                <w:div w:id="1810899653">
                  <w:marLeft w:val="0"/>
                  <w:marRight w:val="0"/>
                  <w:marTop w:val="0"/>
                  <w:marBottom w:val="0"/>
                  <w:divBdr>
                    <w:top w:val="none" w:sz="0" w:space="0" w:color="auto"/>
                    <w:left w:val="none" w:sz="0" w:space="0" w:color="auto"/>
                    <w:bottom w:val="none" w:sz="0" w:space="0" w:color="auto"/>
                    <w:right w:val="none" w:sz="0" w:space="0" w:color="auto"/>
                  </w:divBdr>
                  <w:divsChild>
                    <w:div w:id="96616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hyperlink" Target="https://eur-lex.europa.eu/legal-content/BG/ALL/?uri=CELEX:32004R0850"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eea.europa.eu/publications/soer-2020/chapter-10_soer2020-chemical-pollution/view" TargetMode="External"/><Relationship Id="rId2" Type="http://schemas.openxmlformats.org/officeDocument/2006/relationships/hyperlink" Target="http://eur-lex.europa.eu/LexUriServ/LexUriServ.do?uri=OJ:L:2012:197:0038:0071:BG:PDF" TargetMode="External"/><Relationship Id="rId1" Type="http://schemas.openxmlformats.org/officeDocument/2006/relationships/hyperlink" Target="https://eur-lex.europa.eu/legal-content/BG/ALL/?uri=CELEX%3A52001DC0088"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lineChart>
        <c:grouping val="standard"/>
        <c:varyColors val="0"/>
        <c:ser>
          <c:idx val="0"/>
          <c:order val="0"/>
          <c:tx>
            <c:strRef>
              <c:f>Sheet1!$B$1</c:f>
              <c:strCache>
                <c:ptCount val="1"/>
                <c:pt idx="0">
                  <c:v>Постигнат резултат</c:v>
                </c:pt>
              </c:strCache>
            </c:strRef>
          </c:tx>
          <c:spPr>
            <a:ln w="28575" cap="rnd">
              <a:solidFill>
                <a:schemeClr val="accent1"/>
              </a:solidFill>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Sheet1!$A$2:$A$5</c:f>
              <c:numCache>
                <c:formatCode>General</c:formatCode>
                <c:ptCount val="4"/>
                <c:pt idx="0">
                  <c:v>2016</c:v>
                </c:pt>
                <c:pt idx="1">
                  <c:v>2017</c:v>
                </c:pt>
                <c:pt idx="2">
                  <c:v>2018</c:v>
                </c:pt>
                <c:pt idx="3">
                  <c:v>2019</c:v>
                </c:pt>
              </c:numCache>
            </c:numRef>
          </c:cat>
          <c:val>
            <c:numRef>
              <c:f>Sheet1!$B$2:$B$5</c:f>
              <c:numCache>
                <c:formatCode>0.00%</c:formatCode>
                <c:ptCount val="4"/>
                <c:pt idx="0">
                  <c:v>0.90480000000000005</c:v>
                </c:pt>
                <c:pt idx="1">
                  <c:v>0.96040000000000003</c:v>
                </c:pt>
                <c:pt idx="2">
                  <c:v>0.90910000000000002</c:v>
                </c:pt>
                <c:pt idx="3">
                  <c:v>0.89400000000000002</c:v>
                </c:pt>
              </c:numCache>
            </c:numRef>
          </c:val>
          <c:smooth val="0"/>
          <c:extLst>
            <c:ext xmlns:c16="http://schemas.microsoft.com/office/drawing/2014/chart" uri="{C3380CC4-5D6E-409C-BE32-E72D297353CC}">
              <c16:uniqueId val="{00000000-66AC-4BEE-83CD-39C7181FBACB}"/>
            </c:ext>
          </c:extLst>
        </c:ser>
        <c:dLbls>
          <c:showLegendKey val="0"/>
          <c:showVal val="0"/>
          <c:showCatName val="0"/>
          <c:showSerName val="0"/>
          <c:showPercent val="0"/>
          <c:showBubbleSize val="0"/>
        </c:dLbls>
        <c:smooth val="0"/>
        <c:axId val="500204560"/>
        <c:axId val="500208496"/>
      </c:lineChart>
      <c:catAx>
        <c:axId val="5002045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0208496"/>
        <c:crosses val="autoZero"/>
        <c:auto val="1"/>
        <c:lblAlgn val="ctr"/>
        <c:lblOffset val="100"/>
        <c:noMultiLvlLbl val="0"/>
      </c:catAx>
      <c:valAx>
        <c:axId val="500208496"/>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0020456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D04546-6345-47AF-B555-F87AFAD6D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11390</Words>
  <Characters>60824</Characters>
  <Application>Microsoft Office Word</Application>
  <DocSecurity>0</DocSecurity>
  <Lines>2764</Lines>
  <Paragraphs>2256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69958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Kamelia</dc:creator>
  <cp:keywords/>
  <dc:description/>
  <cp:lastModifiedBy>Kamelia</cp:lastModifiedBy>
  <cp:revision>3</cp:revision>
  <dcterms:created xsi:type="dcterms:W3CDTF">2021-06-13T22:26:00Z</dcterms:created>
  <dcterms:modified xsi:type="dcterms:W3CDTF">2021-06-14T12:51:00Z</dcterms:modified>
</cp:coreProperties>
</file>